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31665-2023 i Mönsterås kommun</w:t>
      </w:r>
    </w:p>
    <w:p>
      <w:r>
        <w:t>Detta dokument behandlar höga naturvärden i avverkningsanmälan A 31665-2023 i Mönsterås kommun. Denna avverkningsanmälan inkom 2023-06-29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31 naturvårdsarter hittats: storspov (EN, §4), dvärgbägarlav (NT), ekticka (NT), entita (NT, §4), grynig filtlav (NT), grön aspvedbock (NT), lunglav (NT), rutskinn (NT), spillkråka (NT, §4), svartvit flugsnappare (NT, §4), tallticka (NT), talltita (NT, §4), ullticka (NT), vedskivlav (NT), vedtrappmossa (NT), blomskägglav (S), blåmossa (S), brandticka (S), bronshjon (S), ekskinn (S), fällmossa (S), grönpyrola (S), guldlockmossa (S), kattfotslav (S), kornknutmossa (S), mindre märgborre (S), stor aspticka (S), stor revmossa (S), thomsons trägnagare (S), vågbandad barkbock (S) och tjäder (§4). Av dessa är 15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92457"/>
            <wp:docPr id="1" name="Picture 1"/>
            <wp:cNvGraphicFramePr>
              <a:graphicFrameLocks noChangeAspect="1"/>
            </wp:cNvGraphicFramePr>
            <a:graphic>
              <a:graphicData uri="http://schemas.openxmlformats.org/drawingml/2006/picture">
                <pic:pic>
                  <pic:nvPicPr>
                    <pic:cNvPr id="0" name="A 31665-2023 karta.png"/>
                    <pic:cNvPicPr/>
                  </pic:nvPicPr>
                  <pic:blipFill>
                    <a:blip r:embed="rId16"/>
                    <a:stretch>
                      <a:fillRect/>
                    </a:stretch>
                  </pic:blipFill>
                  <pic:spPr>
                    <a:xfrm>
                      <a:off x="0" y="0"/>
                      <a:ext cx="5486400" cy="32924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6340397, E 578011 i SWEREF 99 TM.</w:t>
      </w:r>
    </w:p>
    <w:p>
      <w:r>
        <w:rPr>
          <w:b/>
        </w:rPr>
        <w:t>Blomskägglav</w:t>
      </w:r>
      <w:r>
        <w:t xml:space="preserve"> är en ljusälskande och fuktighetskrävande art som framför allt växer på ek högt upp i trädkronorna, där den sitter på ovansidan av klena grenar. Blomskägglav är en bra signalart, speciellt för artfattiga ekskogar med få andra signalarter och ekar i skogsbryn med rika bestånd av olika skägglavar bör regelmässigt sparas (SLU Artdatabanken, 2024; Nitare &amp; Skogsstyrelsen, 2019).</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Ekskinn</w:t>
      </w:r>
      <w:r>
        <w:t xml:space="preserve"> är en mycket bra signalart som visar på skyddsvärda skogsområden med långvarig kontinuitet av ek där det funnits ett konstant inslag av gamla träd. Arten är en typisk representant för relikta ekbestånd i humida, gärna kustnära trakter, och klena träd som hyser arten är vanligtvis betydligt äldre än vad man först kan tro. Ekskinnet hotas främst av avverkning av aktuella och potentiella värdträd men också av att eken i vissa områden ersätts av gran eller andra trädslag (SLU Artdatabanken, 2024;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(Nitare &amp; Skogsstyrelsen, 2019).</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(SLU Artdatabanken, 2024; Nitare &amp; Skogsstyrelsen, 2019).</w:t>
      </w:r>
    </w:p>
    <w:p>
      <w:r>
        <w:rPr>
          <w:b/>
        </w:rPr>
        <w:t>Grön aspvedbock (NT)</w:t>
      </w:r>
      <w:r>
        <w:t xml:space="preserve"> är en skalbagge vars larvutveckling sker under tjock bark på nyligen döda stammar och grova grenar (&gt;5 cm diameter) av lövträd, i Sverige nästan uteslutande asp. Främsta hotet är bristen på gammal aspskog. Skogsbruket har under lång tid missgynnat asp, och det är idag på många håll ovanligt med gamla lövrika skogar. Inom skogsbruket bör man spara aspar vid röjning, gallring och slutavverkning, och därmed få andelen lövskog att öka i hela skogslandskapet. Bruket att ringbarka gamla aspar för att motverka rotskott bör upphöra (SLU Artdatabanken, 2024).</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 xml:space="preserve">Kattfotslav </w:t>
      </w:r>
      <w:r>
        <w:t>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(Nitare &amp; Skogsstyrelsen, 2019).</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Rutskinn (NT)</w:t>
      </w:r>
      <w:r>
        <w:t xml:space="preserve"> är en relativt sällsynt art som växer främst på gammal grov ek och nedfallna grenar av ek, framför allt i ekhagar, men ibland även i mera sluten ädellöv- och blandskog. För att gynna arten måste hagmarker och ädellövskog med grova ekar skyddas och skötas så att en olikåldrig struktur gynnas och de gamla träden får ersättare när de dör (SLU Artdatabanken, 2024;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(SLU Artdatabanken, 2024;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storspov (EN, §4), entita (NT, §4), spillkråka (NT, §4), svartvit flugsnappare (NT, §4), talltita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