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399-2026 i Emmaboda kommun</w:t>
      </w:r>
    </w:p>
    <w:p>
      <w:r>
        <w:t>Denna tillsynsbegäran behandlar höga naturvärden i samrådsanmälan S 399-2026 i Emmaboda kommun som inkom 2026-02-16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0954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39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095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6265417, E 523703 i SWEREF 99 TM.</w:t>
      </w:r>
    </w:p>
    <w:p>
      <w:r>
        <w:t>I samrådsanmälan finns fynd av 2 naturvårdsarter, varav 1 är fridlyst, 1 är typisk (T) och 1 är signalart (S): underviol (S, T) och gullviva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 xml:space="preserve">Underviol </w:t>
      </w:r>
      <w:r>
        <w:t xml:space="preserve">är en bra signalart i hela sitt utbredningsområde i såväl lövlundar som kalkbarrskogar. Arten är särskilt intressant när den förekommer i barrskog och indikerar då troligen relikta och hotade kalkbarrskogsekosystem. Underviol tål inte dagens storskaliga skogsbruksmetoder även om den vid enstaka tillfällen lyckas kvarstå i fuktdråg efter avverkning. Underviol är typisk art för </w:t>
      </w:r>
      <w:r>
        <w:rPr>
          <w:i/>
        </w:rPr>
        <w:t xml:space="preserve">9050 Näringsrik granskog, 9020 Nordlig ädellövskog </w:t>
      </w:r>
      <w:r>
        <w:t xml:space="preserve">och </w:t>
      </w:r>
      <w:r>
        <w:rPr>
          <w:i/>
        </w:rPr>
        <w:t>9160 Näringsrik ekskog</w:t>
      </w:r>
      <w:r>
        <w:t xml:space="preserve"> (Nitare &amp; Skogsstyrelsen, 2019; SLU Artdatabanken, 2024).</w:t>
      </w:r>
    </w:p>
    <w:p>
      <w:r>
        <w:rPr>
          <w:b/>
        </w:rPr>
        <w:t>Gullviva (§9)</w:t>
      </w:r>
      <w:r>
        <w:t xml:space="preserve"> är värdväxt för bland annat den rödlistade och sällsynta fjärilen gullvivefjäril (VU) samt typisk art för </w:t>
      </w:r>
      <w:r>
        <w:rPr>
          <w:i/>
        </w:rPr>
        <w:t xml:space="preserve">9070 Trädklädd betesmark, 6530 Lövängar, 6510 Slåtterängar i låglandet </w:t>
      </w:r>
      <w:r>
        <w:t>och</w:t>
      </w:r>
      <w:r>
        <w:rPr>
          <w:i/>
        </w:rPr>
        <w:t xml:space="preserve"> 6270 Silikatgräsmarker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