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18621-2025 i Emmaboda kommun</w:t>
      </w:r>
    </w:p>
    <w:p>
      <w:r>
        <w:t>Denna tillsynsbegäran behandlar höga naturvärden i avverkningsanmälan A 18621-2025 i Emmaboda kommun som inkom 2025-04-16 och omfattar 1,7 ha.</w:t>
      </w:r>
    </w:p>
    <w:p>
      <w:pPr>
        <w:pStyle w:val="Caption"/>
      </w:pPr>
      <w:r>
        <w:drawing>
          <wp:inline xmlns:a="http://schemas.openxmlformats.org/drawingml/2006/main" xmlns:pic="http://schemas.openxmlformats.org/drawingml/2006/picture">
            <wp:extent cx="5486400" cy="5390247"/>
            <wp:docPr id="1" name="Picture 1"/>
            <wp:cNvGraphicFramePr>
              <a:graphicFrameLocks noChangeAspect="1"/>
            </wp:cNvGraphicFramePr>
            <a:graphic>
              <a:graphicData uri="http://schemas.openxmlformats.org/drawingml/2006/picture">
                <pic:pic>
                  <pic:nvPicPr>
                    <pic:cNvPr id="0" name="A 18621-2025 karta.png"/>
                    <pic:cNvPicPr/>
                  </pic:nvPicPr>
                  <pic:blipFill>
                    <a:blip r:embed="rId16"/>
                    <a:stretch>
                      <a:fillRect/>
                    </a:stretch>
                  </pic:blipFill>
                  <pic:spPr>
                    <a:xfrm>
                      <a:off x="0" y="0"/>
                      <a:ext cx="5486400" cy="539024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6268649, E 524911 i SWEREF 99 TM.</w:t>
      </w:r>
    </w:p>
    <w:p>
      <w:r>
        <w:t>I avverkningsanmälan finns fynd av 1 naturvårdsarter, varav 1 är rödlistad, 1 är fridlyst och 1 är typisk (T): pärluggla (EN,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Pärluggla (EN, §4)</w:t>
      </w:r>
      <w:r>
        <w:t xml:space="preserve"> är en starkt hotad art som omfattas av bilaga 1 EU:s fågeldirektiv. Beståndet har gradvis minskat sedan början av 1980-talet och efter 2010 tyder data från Svensk Fågeltaxering på att beståndet i det närmaste helt kraschat. Minskningstakten har uppgått till 60 (40–80) % under de senaste 15 åren. Pärlugglan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 är typisk art för </w:t>
      </w:r>
      <w:r>
        <w:rPr>
          <w:i/>
        </w:rPr>
        <w:t>9010 Västlig taiga</w:t>
      </w:r>
      <w:r>
        <w:t xml:space="preserve">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Pärluggla – ekologi samt krav på livsmiljön</w:t>
      </w:r>
    </w:p>
    <w:p>
      <w:r>
        <w:t xml:space="preserve">Pärluggla (EN, §4) är en starkt hotad art som är typisk art för </w:t>
      </w:r>
      <w:r>
        <w:rPr>
          <w:i/>
        </w:rPr>
        <w:t>9010 Västlig taiga</w:t>
      </w:r>
      <w:r>
        <w:t xml:space="preserve"> och omfattas av bilaga 1 EU:s fågeldirektiv. Beståndet har gradvis minskat sedan början av 1980-talet och efter 2010 tyder data från Svensk Fågeltaxering på att beståndet i det närmaste helt kraschat. Minskningstakten har uppgått till 60 (40–80) % under de senaste 15 åren och överstiger gränsvärdet för starkt hotad (EN) (SLU Artdatabanken, 2026).</w:t>
      </w:r>
    </w:p>
    <w:p>
      <w:r>
        <w:t>Pärlugglan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Hemområdet är i storleksordningen 200–500 hektar, men storleken varierar kraftigt beroende på hur mycket föda det finns. Under dåliga gnagarår kan pärlugglan jaga upp till 4 km från boet medan den under bra år ofta håller sig inom 1 km (SLU Artdatabanken, 2026).</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2026. </w:t>
      </w:r>
      <w:r>
        <w:rPr>
          <w:i/>
        </w:rPr>
        <w:t xml:space="preserve">Artfaktablad. Naturvård – artfakta. </w:t>
      </w:r>
      <w:r>
        <w:t>SLU Artdatabanken, Uppsala.</w:t>
      </w:r>
    </w:p>
    <w:p>
      <w:r>
        <w:t xml:space="preserve">Skogsstyrelsen, 2016. </w:t>
      </w:r>
      <w:r>
        <w:rPr>
          <w:i/>
        </w:rPr>
        <w:t>Vägledning för hänsyn till pärluggla.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