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1049-2024 i Emmaboda kommun</w:t>
      </w:r>
    </w:p>
    <w:p>
      <w:r>
        <w:t>Detta klagomål behandlar höga naturvärden i samrådsanmälan S 1049-2024 i Emmaboda kommun som inkom 2024-04-05 och omfattar 24,1 ha.</w:t>
      </w:r>
    </w:p>
    <w:p>
      <w:pPr>
        <w:pStyle w:val="Caption"/>
      </w:pPr>
      <w:r>
        <w:drawing>
          <wp:inline xmlns:a="http://schemas.openxmlformats.org/drawingml/2006/main" xmlns:pic="http://schemas.openxmlformats.org/drawingml/2006/picture">
            <wp:extent cx="5486400" cy="2984526"/>
            <wp:docPr id="1" name="Picture 1"/>
            <wp:cNvGraphicFramePr>
              <a:graphicFrameLocks noChangeAspect="1"/>
            </wp:cNvGraphicFramePr>
            <a:graphic>
              <a:graphicData uri="http://schemas.openxmlformats.org/drawingml/2006/picture">
                <pic:pic>
                  <pic:nvPicPr>
                    <pic:cNvPr id="0" name="S 1049-2024 karta.png"/>
                    <pic:cNvPicPr/>
                  </pic:nvPicPr>
                  <pic:blipFill>
                    <a:blip r:embed="rId16"/>
                    <a:stretch>
                      <a:fillRect/>
                    </a:stretch>
                  </pic:blipFill>
                  <pic:spPr>
                    <a:xfrm>
                      <a:off x="0" y="0"/>
                      <a:ext cx="5486400" cy="298452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6261665, E 538233 i SWEREF 99 TM.</w:t>
      </w:r>
    </w:p>
    <w:p>
      <w:r>
        <w:t>I och inom 21 meter från samrådsanmälan finns fynd av 6 naturvårdsarter, varav 1 är rödlistad, 2 är fridlysta, 5 är typiska (T) och 3 är signalarter (S): gropticka (NT, T), blåmossa (S, T), grovticka (S, T), kornknutmossa (S, T), hårklomossa (T, §8)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