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1284-2023 i Emmaboda kommun</w:t>
      </w:r>
    </w:p>
    <w:p>
      <w:r>
        <w:t>Detta klagomål behandlar höga naturvärden i samrådsanmälan S 1284-2023 i Emmaboda kommun som inkom 2023-04-14 och omfattar 4,1 ha.</w:t>
      </w:r>
    </w:p>
    <w:p>
      <w:pPr>
        <w:pStyle w:val="Caption"/>
      </w:pPr>
      <w:r>
        <w:drawing>
          <wp:inline xmlns:a="http://schemas.openxmlformats.org/drawingml/2006/main" xmlns:pic="http://schemas.openxmlformats.org/drawingml/2006/picture">
            <wp:extent cx="5486400" cy="5518451"/>
            <wp:docPr id="1" name="Picture 1"/>
            <wp:cNvGraphicFramePr>
              <a:graphicFrameLocks noChangeAspect="1"/>
            </wp:cNvGraphicFramePr>
            <a:graphic>
              <a:graphicData uri="http://schemas.openxmlformats.org/drawingml/2006/picture">
                <pic:pic>
                  <pic:nvPicPr>
                    <pic:cNvPr id="0" name="S 1284-2023 karta.png"/>
                    <pic:cNvPicPr/>
                  </pic:nvPicPr>
                  <pic:blipFill>
                    <a:blip r:embed="rId16"/>
                    <a:stretch>
                      <a:fillRect/>
                    </a:stretch>
                  </pic:blipFill>
                  <pic:spPr>
                    <a:xfrm>
                      <a:off x="0" y="0"/>
                      <a:ext cx="5486400" cy="551845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6273601, E 543284 i SWEREF 99 TM.</w:t>
      </w:r>
    </w:p>
    <w:p>
      <w:r>
        <w:t>I samrådsanmälan finns fynd av 5 naturvårdsarter, varav 3 är rödlistade, 4 är typiska (T) och 2 är signalarter (S): skogsalm (EN), sårläka (NT, T), vårärt (NT, T), rostfläck (S, T) och sotlav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