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21184-2024 i Emmaboda kommun</w:t>
      </w:r>
    </w:p>
    <w:p>
      <w:r>
        <w:t>Detta klagomål behandlar höga naturvärden i avverkningsanmälan A 21184-2024 i Emmaboda kommun som inkom 2024-05-28 och omfattar 8,5 ha.</w:t>
      </w:r>
    </w:p>
    <w:p>
      <w:pPr>
        <w:pStyle w:val="Caption"/>
      </w:pPr>
      <w:r>
        <w:drawing>
          <wp:inline xmlns:a="http://schemas.openxmlformats.org/drawingml/2006/main" xmlns:pic="http://schemas.openxmlformats.org/drawingml/2006/picture">
            <wp:extent cx="5486400" cy="4726295"/>
            <wp:docPr id="1" name="Picture 1"/>
            <wp:cNvGraphicFramePr>
              <a:graphicFrameLocks noChangeAspect="1"/>
            </wp:cNvGraphicFramePr>
            <a:graphic>
              <a:graphicData uri="http://schemas.openxmlformats.org/drawingml/2006/picture">
                <pic:pic>
                  <pic:nvPicPr>
                    <pic:cNvPr id="0" name="A 21184-2024 karta.png"/>
                    <pic:cNvPicPr/>
                  </pic:nvPicPr>
                  <pic:blipFill>
                    <a:blip r:embed="rId16"/>
                    <a:stretch>
                      <a:fillRect/>
                    </a:stretch>
                  </pic:blipFill>
                  <pic:spPr>
                    <a:xfrm>
                      <a:off x="0" y="0"/>
                      <a:ext cx="5486400" cy="4726295"/>
                    </a:xfrm>
                    <a:prstGeom prst="rect"/>
                  </pic:spPr>
                </pic:pic>
              </a:graphicData>
            </a:graphic>
          </wp:inline>
        </w:drawing>
      </w:r>
    </w:p>
    <w:p>
      <w:pPr>
        <w:pStyle w:val="Caption"/>
        <w:spacing w:after="240"/>
      </w:pPr>
      <w:r>
        <w:t>Figur 1. Fyndplatser för naturvårdsarter i och inom 14 meter från avverkningsanmälan. Markörer utan svart kant är placerade på fyndplatsen. Markörer med svart kant är placerade vid sidan av fyndplatsen och har ett svart streck som visar fyndplatsens exakta position. Kartans mittpunktskoordinat är N 6276582, E 534120 i SWEREF 99 TM.</w:t>
      </w:r>
    </w:p>
    <w:p>
      <w:r>
        <w:t>I och inom 14 meter från avverkningsanmälan finns fynd av 7 naturvårdsarter, varav 3 är rödlistade och 6 är fridlysta: ask (EN), brunlångöra (NT, §4a), nordfladdermus (NT, §4a), dvärgpipistrell (§4a), större brunfladdermus (§4a), trollpipistrell (§4a) och huggorm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Brunlångöra är typisk art för </w:t>
      </w:r>
      <w:r>
        <w:rPr>
          <w:i/>
        </w:rPr>
        <w:t>8310 Grottor</w:t>
      </w:r>
      <w:r>
        <w:t xml:space="preserve"> och </w:t>
      </w:r>
      <w:r>
        <w:rPr>
          <w:i/>
        </w:rPr>
        <w:t>8330</w:t>
      </w:r>
      <w:r>
        <w:t xml:space="preserve"> (SLU Artdatabanken, 2024).</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Större brunfladdermus (§4a)</w:t>
      </w:r>
      <w:r>
        <w:t xml:space="preserve"> omfattas av bilaga 4 EU:s art- och habitatdirektiv vilket innebär ett strikt skydd där arten och dess livsmiljöer ska bevaras. Den lever huvudsakligen i större skogsområden med gamla lövträdsbestånd, där den jagar i alla typer av öppna och halvöppna miljöer, ofta över stora sjöar och vattendrag, strandängar, betes- och slåttermarker. 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Gamla träd med grov bark, skador, håligheter eller döda delar bör lämnas och yngre träd (efterträdare) tillåtas finnas kvar och åldras för att säkra framtida förekomst av lämpliga yngelmiljöer. Övervintringsplatser måste skyddas effektivt från störningar (SLU Artdatabanken, 2024).</w:t>
      </w:r>
    </w:p>
    <w:p>
      <w:r>
        <w:rPr>
          <w:b/>
        </w:rPr>
        <w:t>Trollpipistrell (§4a)</w:t>
      </w:r>
      <w:r>
        <w:t xml:space="preserve"> omfattas av bilaga 4 EU:s art- och habitatdirektiv vilket innebär ett strikt skydd för arten och dess livsmiljöer. Trollpipistrell förekommer i gles barr- och lövskog, i trädbärande beteshagar, i kantzoner mellan skog och odlingsmark, i närheten av sjöar och vattendrag samt i bymiljöer. Den undviker stora öppna miljöer såsom åkrar och hyggen och gynnas av ett landskap med mycket lövträd, vatten och hålträd. Under året utnyttjas många olika miljöer och ett effektivt bevarandearbete måste därför utgå från ett landskapsekologiskt perspektiv. Ett varierat landskap med hög andel äldre lövträd, småvatten, sumpskogar, öppna våtmarker, ängar och betesmarker, är gynnsamt för insekter vilket skapar förutsättningar för fladdermöss att finna tillräckligt med föda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 xml:space="preserve">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Brunlångöra är typisk art för </w:t>
      </w:r>
      <w:r>
        <w:rPr>
          <w:i/>
        </w:rPr>
        <w:t>8310 Grottor</w:t>
      </w:r>
      <w:r>
        <w:t xml:space="preserve"> och </w:t>
      </w:r>
      <w:r>
        <w:rPr>
          <w:i/>
        </w:rPr>
        <w:t>8330 Havsgrottor</w:t>
      </w:r>
      <w:r>
        <w:t xml:space="preserve">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2026-09-16</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