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53370-2023 i Emmaboda kommun</w:t>
      </w:r>
    </w:p>
    <w:p>
      <w:r>
        <w:t>Detta dokument behandlar höga naturvärden i avverkningsanmälan A 53370-2023 i Emmaboda kommun. Denna avverkningsanmälan inkom 2023-10-30 16:07:17 och omfattar 2,4 ha.</w:t>
      </w:r>
    </w:p>
    <w:p>
      <w:r>
        <w:t>Nedan presenteras fynd av naturvårdsarter och fridlysta arter som gjorts i det avverkningsanmälda området, samt relevanta utdrag ur standarderna för FSC, Chain of Custody, Controlled Wood och PEFC. I BILAGA 1 finns artfakta om fridlysta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knärot (VU, §8). Av dessa är 1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351330"/>
            <wp:docPr id="1" name="Picture 1"/>
            <wp:cNvGraphicFramePr>
              <a:graphicFrameLocks noChangeAspect="1"/>
            </wp:cNvGraphicFramePr>
            <a:graphic>
              <a:graphicData uri="http://schemas.openxmlformats.org/drawingml/2006/picture">
                <pic:pic>
                  <pic:nvPicPr>
                    <pic:cNvPr id="0" name="A 53370-2023 karta.png"/>
                    <pic:cNvPicPr/>
                  </pic:nvPicPr>
                  <pic:blipFill>
                    <a:blip r:embed="rId16"/>
                    <a:stretch>
                      <a:fillRect/>
                    </a:stretch>
                  </pic:blipFill>
                  <pic:spPr>
                    <a:xfrm>
                      <a:off x="0" y="0"/>
                      <a:ext cx="5486400" cy="4351330"/>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6287519, E 525136 i SWEREF 99 TM.</w:t>
      </w:r>
    </w:p>
    <w:p>
      <w:pPr>
        <w:pStyle w:val="Heading1"/>
      </w:pPr>
      <w:r>
        <w:t>Fridlysta arter</w:t>
      </w:r>
    </w:p>
    <w:p>
      <w:r>
        <w:t>Följande fridlysta arter har sina livsmiljöer och växtplatser i den avverkningsanmälda skogen: knärot (VU, §8).</w:t>
      </w:r>
    </w:p>
    <w:p>
      <w:r>
        <w:rPr>
          <w:b/>
        </w:rPr>
        <w:t>Knärot (VU, §8)</w:t>
      </w:r>
      <w:r>
        <w:t xml:space="preserve"> är rödlistad som sårbar och fridlyst enligt 8§ artskyddsförordningen. En nyligen genomförd analys av 79 floraväktarlokaler indikerar att det behövs någonstans mellan 100 och 150 meters skyddszon för att en knärotspopulation inte ska dö ut på lång sikt (Sebestyén &amp; Sundberg, 2025). Detta ligger väl i linje med tidigare genomförda studier som visar att det krävs väl tilltagna buffertzoner för att knäroten inte ska ta skada av skogsbruksåtgärder i intilliggande skog (Johnson, 2014; Koelmeijer m.fl., 2022; Skogsstyrelsen, 2022). Arten är även känslig för gallring vilket framgår av Skogsstyrelsens egen vägledning för hänsyn till knärot (Skogsstyrelsen, 2022). För rika förekomster av knärot är reservatsbildning eller biotopskydd lämpliga åtgärder för att skydda den. På knärot kan den sällsynta rostsvampen </w:t>
      </w:r>
      <w:r>
        <w:rPr>
          <w:i/>
        </w:rPr>
        <w:t>Pucciniastrum goodyerae</w:t>
      </w:r>
      <w:r>
        <w:t xml:space="preserve"> påträffas. </w:t>
      </w:r>
      <w:r>
        <w:rPr>
          <w:i/>
        </w:rPr>
        <w:t>Pucciniastrum goodyerae</w:t>
      </w:r>
      <w:r>
        <w:t xml:space="preserve"> är klassad som NE (ej bedömd) i rödlistan (SLU Artdatabanken, 2024).</w:t>
      </w:r>
    </w:p>
    <w:p>
      <w:r>
        <w:t>I det avverkningsanmälda området finns 1 fyndplatser för knärot registrerade på Artportalen. Figur 2 visar gränserna för buffertzoner på 50 m, som behöver lämnas kring fyndplatserna för att knärotslokalerna inte ska försvinna vid en avverkning. Av det avverkningsanmälda området överlappar 0.65 ha med buffertzonerna och får av detta skäl inte avverkas.</w:t>
      </w:r>
    </w:p>
    <w:p>
      <w:pPr>
        <w:pStyle w:val="Caption"/>
      </w:pPr>
      <w:r>
        <w:drawing>
          <wp:inline xmlns:a="http://schemas.openxmlformats.org/drawingml/2006/main" xmlns:pic="http://schemas.openxmlformats.org/drawingml/2006/picture">
            <wp:extent cx="5486400" cy="5120107"/>
            <wp:docPr id="2" name="Picture 2"/>
            <wp:cNvGraphicFramePr>
              <a:graphicFrameLocks noChangeAspect="1"/>
            </wp:cNvGraphicFramePr>
            <a:graphic>
              <a:graphicData uri="http://schemas.openxmlformats.org/drawingml/2006/picture">
                <pic:pic>
                  <pic:nvPicPr>
                    <pic:cNvPr id="0" name="A 53370-2023 karta knärot.png"/>
                    <pic:cNvPicPr/>
                  </pic:nvPicPr>
                  <pic:blipFill>
                    <a:blip r:embed="rId17"/>
                    <a:stretch>
                      <a:fillRect/>
                    </a:stretch>
                  </pic:blipFill>
                  <pic:spPr>
                    <a:xfrm>
                      <a:off x="0" y="0"/>
                      <a:ext cx="5486400" cy="5120107"/>
                    </a:xfrm>
                    <a:prstGeom prst="rect"/>
                  </pic:spPr>
                </pic:pic>
              </a:graphicData>
            </a:graphic>
          </wp:inline>
        </w:drawing>
      </w:r>
    </w:p>
    <w:p>
      <w:pPr>
        <w:pStyle w:val="Caption"/>
      </w:pPr>
      <w:r>
        <w:t>Figur 2. Fyndplatser och buffertzoner för knärot i det avverkningsanmälda området. Endast fyndplatser vars buffertzoner överlappar med det avverkningsanmälda området har tagits med i visualiseringen. Kartans mittpunktskoordinat är N 6287519, E 525136 i SWEREF 99 TM.</w:t>
      </w:r>
    </w:p>
    <w:p>
      <w:pPr>
        <w:pStyle w:val="Caption"/>
      </w:pPr>
    </w:p>
    <w:p>
      <w:r>
        <w:t>I BILAGA 1 finns mer detaljerad information om ekologi samt krav på livsmiljö hos fridlysta arter.</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Knärot – ekologi samt krav på livsmiljön</w:t>
      </w:r>
    </w:p>
    <w:p>
      <w:r>
        <w:t>Knärot är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 förhållande till sin generationstid än vad som tidigare varit känt (data från Riksskogstaxeringen) höjdes den till hotkategori sårbar (VU) i rödlistan 2020 (SLU Artdatabanken, 2024).</w:t>
      </w:r>
    </w:p>
    <w:p>
      <w:r>
        <w:t>En analys av 79 floraväktarlokaler åren 1990–2015 vilka återbesökts under 2020–2024 visade på en tydlig negativ påverkan på knärotsförekomster från större hyggen i närområdet (inom 150–200 m) vilket indikerar att kanteffekter har en stor påverkan på populationerna. Resultaten bekräftar knärotens känslighet för kanteffekter och visar vikten av att skydda större skogsbestånd för att bevara arten. Om det blir höga andelar (&gt;30%) hyggen inom 200 meter från en knärotsförekomst så ökar risken för att en knärotspopulation dör ut och det verkar det behövas någonstans mellan 100 och 150 meters skyddszon för att bevara arten på lång sikt (Sebestyén &amp; Sundberg, 2025).</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En nyligen publicerad vetenskaplig uppsats av Koelmeijer m.fl. (2022) inkluderar orkidén knärots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r>
        <w:t>Vid tillämpning av försiktighetsprincipen enligt 2 kap. 3 § miljöbalken bör sålunda 100–150 meters skyddszon lämnas runt knärotens växtplatser.</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Ecological Applications, 22, 2049–2064</w:t>
      </w:r>
    </w:p>
    <w:p>
      <w:r>
        <w:t xml:space="preserve">Johnson, S., 2014. </w:t>
      </w:r>
      <w:r>
        <w:rPr>
          <w:i/>
        </w:rPr>
        <w:t>Retention Forestry as a Conservation Measure for Boreal Forest Ground Vegetation</w:t>
      </w:r>
      <w:r>
        <w:t>. Doktorsavhandling, SLU, Uppsala</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Sebestyén, L. och Sundberg, S. 2025.  </w:t>
      </w:r>
      <w:r>
        <w:rPr>
          <w:i/>
        </w:rPr>
        <w:t>Påverkan på knärotslokaler från hyggen i närheten.</w:t>
      </w:r>
      <w:r>
        <w:t xml:space="preserve"> DAPHNE 36:1 2025. Botaniska Sällskapet i Stockholm</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2024.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2025-12-05</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