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som inkom 2026-03-26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sandödla (VU, §4a), ekoxe (S, §6), blåsippa (T, §9), nattskärra (T, §4), citronfläckad kärrtrollslända (§4a), långbensgroda (§4a)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2"/>
      </w:pPr>
      <w:r>
        <w:t>Fridlysta arter</w:t>
      </w:r>
    </w:p>
    <w:p>
      <w:r>
        <w:t>Följande fridlysta arter har sina livsmiljöer och växtplatser i den avverkningsanmälda skogen: sandödla (VU, §4a), ekoxe (S, §6), blåsippa (T, §9), nattskärra (T, §4), citronfläckad kärrtrollslända (§4a), långbensgroda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