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som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sandödla (VU, §4a), tofsvipa (VU, §4), gullklöver (NT), kandelabersvamp (NT, T), ladusvala (NT, §4), större vattensalamander (§4a), sångsvan (§4), trana (§4) och vanlig snok (§6).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2"/>
      </w:pPr>
      <w:r>
        <w:t>Fridlysta arter</w:t>
      </w:r>
    </w:p>
    <w:p>
      <w:r>
        <w:t>Följande fridlysta arter har sina livsmiljöer och växtplatser i den avverkningsanmälda skogen: gråtrut (VU, §4), sandödla (VU, §4a), tofsvipa (VU, §4), ladusvala (NT, §4), större vattensalamander (§4a), sångsvan (§4), trana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