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33043-2022 i Kalmar kommun</w:t>
      </w:r>
    </w:p>
    <w:p>
      <w:r>
        <w:t>Denna tillsynsbegäran behandlar höga naturvärden i avverkningsanmälan A 33043-2022 i Kalmar kommun som inkom 2022-08-12 och omfattar 1,6 ha.</w:t>
      </w:r>
    </w:p>
    <w:p>
      <w:pPr>
        <w:pStyle w:val="Caption"/>
      </w:pPr>
      <w:r>
        <w:drawing>
          <wp:inline xmlns:a="http://schemas.openxmlformats.org/drawingml/2006/main" xmlns:pic="http://schemas.openxmlformats.org/drawingml/2006/picture">
            <wp:extent cx="5486400" cy="5102405"/>
            <wp:docPr id="1" name="Picture 1"/>
            <wp:cNvGraphicFramePr>
              <a:graphicFrameLocks noChangeAspect="1"/>
            </wp:cNvGraphicFramePr>
            <a:graphic>
              <a:graphicData uri="http://schemas.openxmlformats.org/drawingml/2006/picture">
                <pic:pic>
                  <pic:nvPicPr>
                    <pic:cNvPr id="0" name="A 33043-2022 karta.png"/>
                    <pic:cNvPicPr/>
                  </pic:nvPicPr>
                  <pic:blipFill>
                    <a:blip r:embed="rId16"/>
                    <a:stretch>
                      <a:fillRect/>
                    </a:stretch>
                  </pic:blipFill>
                  <pic:spPr>
                    <a:xfrm>
                      <a:off x="0" y="0"/>
                      <a:ext cx="5486400" cy="5102405"/>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6270684, E 557542 i SWEREF 99 TM.</w:t>
      </w:r>
    </w:p>
    <w:p>
      <w:r>
        <w:t>I och inom 23 meter från avverkningsanmälan finns fynd av 3 naturvårdsarter, varav 2 är rödlistade, 1 är fridlyst, 3 är typiska (T) och 1 är signalart (S): knärot (VU, T, §8), dropptaggsvamp (NT, T) och murgröna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12 fyndplatser för knärot registrerade på Artportalen. Figur 2 visar gränserna för buffertzoner på 50 m, som behöver lämnas kring fyndplatserna för att knärotslokalerna inte ska försvinna vid en avverkning. Av det avverkningsanmälda området överlappar 1.34 ha med buffertzonerna och får av detta skäl inte avverkas.</w:t>
      </w:r>
    </w:p>
    <w:p>
      <w:pPr>
        <w:pStyle w:val="Caption"/>
      </w:pPr>
      <w:r>
        <w:drawing>
          <wp:inline xmlns:a="http://schemas.openxmlformats.org/drawingml/2006/main" xmlns:pic="http://schemas.openxmlformats.org/drawingml/2006/picture">
            <wp:extent cx="5486400" cy="6532498"/>
            <wp:docPr id="2" name="Picture 2"/>
            <wp:cNvGraphicFramePr>
              <a:graphicFrameLocks noChangeAspect="1"/>
            </wp:cNvGraphicFramePr>
            <a:graphic>
              <a:graphicData uri="http://schemas.openxmlformats.org/drawingml/2006/picture">
                <pic:pic>
                  <pic:nvPicPr>
                    <pic:cNvPr id="0" name="A 33043-2022 karta knärot.png"/>
                    <pic:cNvPicPr/>
                  </pic:nvPicPr>
                  <pic:blipFill>
                    <a:blip r:embed="rId17"/>
                    <a:stretch>
                      <a:fillRect/>
                    </a:stretch>
                  </pic:blipFill>
                  <pic:spPr>
                    <a:xfrm>
                      <a:off x="0" y="0"/>
                      <a:ext cx="5486400" cy="653249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6270684, E 557542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Murgröna</w:t>
      </w:r>
      <w:r>
        <w:t xml:space="preserve"> är typisk art för </w:t>
      </w:r>
      <w:r>
        <w:rPr>
          <w:i/>
        </w:rPr>
        <w:t xml:space="preserve">9160 Näringsrik ekskog </w:t>
      </w:r>
      <w:r>
        <w:t>och</w:t>
      </w:r>
      <w:r>
        <w:rPr>
          <w:i/>
        </w:rPr>
        <w:t xml:space="preserve"> 9190 Näringsfattig ekskog </w:t>
      </w:r>
      <w:r>
        <w:t>(SLU Artdatabanken, 2025).</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