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51898-2025 i Kalmar kommun</w:t>
      </w:r>
    </w:p>
    <w:p>
      <w:r>
        <w:t>Detta klagomål behandlar höga naturvärden i avverkningsanmälan A 51898-2025 i Kalmar kommun som inkom 2025-10-22 och omfattar 1,1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51898-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6270340, E 560621 i SWEREF 99 TM.</w:t>
      </w:r>
    </w:p>
    <w:p>
      <w:r>
        <w:t>Inom 18 meter från avverkningsanmälan finns fynd av 18 naturvårdsarter, varav 9 är rödlistade, 12 är fridlysta, 3 är typiska (T) och 3 är signalarter (S): vit lavmätare (EN), grönfink (VU, §4), mindre bastardsvärmare (VU), entita (NT, T, §4), grönsångare (NT, §4), mindre hackspett (NT, T, §4), större aspvårvecklare (NT), sädesärla (NT, §4), vasspetsad sikelvinge (NT), ekoxe (S, §6), spindelbock (S), trollspinnare (S), spillkråka (T, §4), kungsfågel (§4), röd glada (§4), svartvit flugsnappare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Större aspvårvecklare (NT) </w:t>
      </w:r>
      <w:r>
        <w:t>är en fjäril som hör hemma i naturskog med grov asp, som är larvens värdväxt. Artens förekomst är kraftigt fragmenterad och den finns inte i varje skogsparti med äldre asp. Vecklaren kräver kontinuitetsskog och hotas av skogsavverkning där hänsyn till gammal asp negligeras. Skydda löv- och blandskogar med lång kontinuitet (SLU Artdatabanken, 2025).</w:t>
      </w:r>
    </w:p>
    <w:p>
      <w:r>
        <w:rPr>
          <w:b/>
        </w:rPr>
        <w:t>Vasspetsad sikelvinge (NT)</w:t>
      </w:r>
      <w:r>
        <w:t xml:space="preserve"> är knuten till stora sammanhängande områden med bestånd av skogslind, som utgör fjärilslarvens föda. Arten hotas främst av slutavverkning av ädellövskog, men sannolikt också av alltför kraftig utglesning av trädbestånd som gör dem till mindre varma livsmiljöer. Alla kvarvarande större ursprungliga bestånd av skogslind med äldre träd och en lång kontinuitet, bör ges ett sådant skydd att de undantas all framtida avverkning. Antalet rödlistade växter och djur beroende av ädellövskog, där skogslind är ett av de dominerande inslagen, är mycket högt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