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592-2026 i Kalmar kommun</w:t>
      </w:r>
    </w:p>
    <w:p>
      <w:r>
        <w:t>Denna tillsynsbegäran behandlar höga naturvärden i samrådsanmälan S 592-2026 i Kalmar kommun som inkom 2026-03-04 och omfattar 3,6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S 592-2026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6261755, E 569606 i SWEREF 99 TM.</w:t>
      </w:r>
    </w:p>
    <w:p>
      <w:r>
        <w:t>I samrådsanmälan finns fynd av 6 naturvårdsarter, varav 3 är rödlistade, 3 är typiska (T) och 3 är signalarter (S): ask (EN), matt pricklav (NT), rutskinn (NT, T), grå skärelav (S), guldlockmossa (S, T)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Matt pricklav (NT)</w:t>
      </w:r>
      <w:r>
        <w:t xml:space="preserve"> växer framför allt på grov och hård bark av gamla jätteekar och förekommer enbart på gamla träd inom områden med jätteträd. Lokalerna bör skyddas. Det finns två sällsynta lavparasiter som är knutna till matt pricklav. Pricklavstofs (DD) som växer på den matta pricklavens bål samt lavsammetsmögel (DD) som i stället växer på apothecierna av den matta pricklaven (SLU Artdatabanken, 2026;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