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779-2023 i Kalmar kommun</w:t>
      </w:r>
    </w:p>
    <w:p>
      <w:r>
        <w:t>Detta klagomål behandlar höga naturvärden i samrådsanmälan S 779-2023 i Kalmar kommun som inkom 2023-02-27 och omfattar 20,9 ha.</w:t>
      </w:r>
    </w:p>
    <w:p>
      <w:pPr>
        <w:pStyle w:val="Caption"/>
      </w:pPr>
      <w:r>
        <w:drawing>
          <wp:inline xmlns:a="http://schemas.openxmlformats.org/drawingml/2006/main" xmlns:pic="http://schemas.openxmlformats.org/drawingml/2006/picture">
            <wp:extent cx="5486400" cy="5478859"/>
            <wp:docPr id="1" name="Picture 1"/>
            <wp:cNvGraphicFramePr>
              <a:graphicFrameLocks noChangeAspect="1"/>
            </wp:cNvGraphicFramePr>
            <a:graphic>
              <a:graphicData uri="http://schemas.openxmlformats.org/drawingml/2006/picture">
                <pic:pic>
                  <pic:nvPicPr>
                    <pic:cNvPr id="0" name="S 779-2023 karta.png"/>
                    <pic:cNvPicPr/>
                  </pic:nvPicPr>
                  <pic:blipFill>
                    <a:blip r:embed="rId16"/>
                    <a:stretch>
                      <a:fillRect/>
                    </a:stretch>
                  </pic:blipFill>
                  <pic:spPr>
                    <a:xfrm>
                      <a:off x="0" y="0"/>
                      <a:ext cx="5486400" cy="5478859"/>
                    </a:xfrm>
                    <a:prstGeom prst="rect"/>
                  </pic:spPr>
                </pic:pic>
              </a:graphicData>
            </a:graphic>
          </wp:inline>
        </w:drawing>
      </w:r>
    </w:p>
    <w:p>
      <w:pPr>
        <w:pStyle w:val="Caption"/>
        <w:spacing w:after="240"/>
      </w:pPr>
      <w:r>
        <w:t>Figur 1. Fyndplatser för naturvårdsarter i och inom 24 meter från samrådsanmälan. Markörer utan svart kant är placerade på fyndplatsen. Markörer med svart kant är placerade vid sidan av fyndplatsen och har ett svart streck som visar fyndplatsens exakta position. Kartans mittpunktskoordinat är N 6297660, E 572682 i SWEREF 99 TM.</w:t>
      </w:r>
    </w:p>
    <w:p>
      <w:r>
        <w:t>I och inom 24 meter från samrådsanmälan finns fynd av 5 naturvårdsarter, varav 4 är rödlistade, 2 är fridlysta och 1 är typisk (T): mindre bastardsvärmare (VU), sandödla (VU, §4a), klubbsprötad bastardsvärmare (NT), slåtterfibbla (NT, T) och röd glada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p>
      <w:r>
        <w:rPr>
          <w:b/>
        </w:rPr>
        <w:t>Röd glada (§4)</w:t>
      </w:r>
      <w:r>
        <w:t xml:space="preserve"> är fridlyst enligt 4§ artskyddsförordningen och upptagen i bilaga 1 EU:s fågeldirektiv. Den häckar gärna i omväxlande landskap med mosaik av öppna marker och skogar. Tidigare studier har visat en förkärlek för att häcka nära sjöar, och häckningsframgången var också högre hos par som häckade nära vatten. Boet läggs i träd, ofta högt och vanligen nära skogsbryn. Missgynnas av skogliga åtgärder som lämnar boet allt för exponerat, främst genom för smala skyddszoner och för omfattande gallring. Lämna en skyddszon kring boplatser vid avverkning eller andra skogliga åtgärder. Bredden på skyddszonen beror på platsen, men som tumregel ska den ska vara så bred att boplatsen inte är väsentligt mer exponerad för insyn än tidigare. Spara samtliga träd med större risbon, även sådana där boet ser obebott ut. Avstå att avverka äldre lövdominerade bestånd, främst i anslutning till öppen jordbruksmark (SLU Artdatabanken, 2024;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