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54865-2025 i Kalmar kommun</w:t>
      </w:r>
    </w:p>
    <w:p>
      <w:r>
        <w:t>Denna tillsynsbegäran behandlar höga naturvärden i avverkningsanmälan A 54865-2025 i Kalmar kommun som inkom 2025-11-05 och omfattar 1,8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54865-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6269600, E 547983 i SWEREF 99 TM.</w:t>
      </w:r>
    </w:p>
    <w:p>
      <w:r>
        <w:t>I och inom 3 meter från avverkningsanmälan finns fynd av 2 naturvårdsarter, varav 1 är rödlistad och 1 är signalart (S): cinnoberspindling (NT)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Cinnoberspindling (NT) </w:t>
      </w:r>
      <w:r>
        <w:t>är en mykorrhizasvamp som växer i ädellövskog, främst i bokskog men även under avenbok, hassel och ek. Arten är en mycket bra indikator på lövskog med lång kontinuitet och höga naturvärden. Lokalerna i mälarområdet bör helt undantas från skogsbruk och helst skyddas. På övriga lokaler bör skogsbruket bedrivas skonsamt. Byte av trädslag får ej ske och äldre träd måste finnas kvar efter att uttag av virke skett. Inom ytor med stor artrikedom bör inga ingrepp alls äga rum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