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8929-2023 i Kalmar kommun</w:t>
      </w:r>
    </w:p>
    <w:p>
      <w:r>
        <w:t>Denna tillsynsbegäran behandlar höga naturvärden i avverkningsanmälan A 8929-2023 i Kalmar kommun som inkom 2023-02-22 och omfattar 33,1 ha.</w:t>
      </w:r>
    </w:p>
    <w:p>
      <w:pPr>
        <w:pStyle w:val="Caption"/>
      </w:pPr>
      <w:r>
        <w:drawing>
          <wp:inline xmlns:a="http://schemas.openxmlformats.org/drawingml/2006/main" xmlns:pic="http://schemas.openxmlformats.org/drawingml/2006/picture">
            <wp:extent cx="5486400" cy="4266572"/>
            <wp:docPr id="1" name="Picture 1"/>
            <wp:cNvGraphicFramePr>
              <a:graphicFrameLocks noChangeAspect="1"/>
            </wp:cNvGraphicFramePr>
            <a:graphic>
              <a:graphicData uri="http://schemas.openxmlformats.org/drawingml/2006/picture">
                <pic:pic>
                  <pic:nvPicPr>
                    <pic:cNvPr id="0" name="A 8929-2023 karta.png"/>
                    <pic:cNvPicPr/>
                  </pic:nvPicPr>
                  <pic:blipFill>
                    <a:blip r:embed="rId16"/>
                    <a:stretch>
                      <a:fillRect/>
                    </a:stretch>
                  </pic:blipFill>
                  <pic:spPr>
                    <a:xfrm>
                      <a:off x="0" y="0"/>
                      <a:ext cx="5486400" cy="42665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6282888, E 571227 i SWEREF 99 TM.</w:t>
      </w:r>
    </w:p>
    <w:p>
      <w:r>
        <w:t>I avverkningsanmälan finns fynd av 10 naturvårdsarter, varav 6 är rödlistade, 8 är fridlysta och 1 är typisk (T): gråtrut (VU, §4), sandödla (VU, §4a), tofsvipa (VU, §4), gullklöver (NT), kandelabersvamp (NT, T), ladusvala (NT, §4), större vattensalamander (§4a), sångsvan (§4), trana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