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58854-2021 i Kalmar kommun</w:t>
      </w:r>
    </w:p>
    <w:p>
      <w:r>
        <w:t>Detta dokument behandlar höga naturvärden i avverkningsanmälan A 58854-2021 i Kalmar kommun. Denna avverkningsanmälan inkom 2021-10-20 00:00:00 och omfattar 3,7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8 naturvårdsarter hittats: tallharticka (EN), jätteknäppare (VU), knärot (VU, §8), gropig brunbagge (NT), Pediacus depressus (NT), tallticka (NT), blomkålssvamp (S) och grovticka (S). Av dessa är 6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76594"/>
            <wp:docPr id="1" name="Picture 1"/>
            <wp:cNvGraphicFramePr>
              <a:graphicFrameLocks noChangeAspect="1"/>
            </wp:cNvGraphicFramePr>
            <a:graphic>
              <a:graphicData uri="http://schemas.openxmlformats.org/drawingml/2006/picture">
                <pic:pic>
                  <pic:nvPicPr>
                    <pic:cNvPr id="0" name="A 58854-2021 karta.png"/>
                    <pic:cNvPicPr/>
                  </pic:nvPicPr>
                  <pic:blipFill>
                    <a:blip r:embed="rId16"/>
                    <a:stretch>
                      <a:fillRect/>
                    </a:stretch>
                  </pic:blipFill>
                  <pic:spPr>
                    <a:xfrm>
                      <a:off x="0" y="0"/>
                      <a:ext cx="5486400" cy="407659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6272173, E 571906 i SWEREF 99 TM.</w:t>
      </w:r>
    </w:p>
    <w:p>
      <w:r>
        <w:rPr>
          <w:b/>
        </w:rPr>
        <w:t xml:space="preserve">Blomkålssvamp </w:t>
      </w:r>
      <w:r>
        <w:t>är en parasit och vednedbrytare som växer på rötter och basala stamdelar av tall, enstaka gånger även på lärk och gran. Träden är oftast mycket gamla, gärna 150–200 år eller äldre. När blomkålssvamp påträffas i skogslandskapet signalerar den vanligtvis skyddsvärda tallbestånd med höga naturvärden. Den är då främst knuten till gamla skogar, oftast tallnaturskogar och olika restbiotoper där det förekommer biologiskt gamla träd. Samtliga tallar med blomkålssvamp bör klassas som naturvårdsträd och lämnas som framtida ”evighetsträd” (Nitare &amp; Skogsstyrelsen, 2019).</w:t>
      </w:r>
    </w:p>
    <w:p>
      <w:r>
        <w:rPr>
          <w:b/>
        </w:rPr>
        <w:t>Gropig brunbagge (NT)</w:t>
      </w:r>
      <w:r>
        <w:t xml:space="preserve"> är en skalbagge vars larvutveckling sker i mycel av violticka (</w:t>
      </w:r>
      <w:r>
        <w:rPr>
          <w:i/>
        </w:rPr>
        <w:t>Trichaptum abietinum</w:t>
      </w:r>
      <w:r>
        <w:t xml:space="preserve">) under barken på döda, stående eller liggande granar och tallar. Larven lever av svampens mycel mellan bark och ved, någon gång även ytligt i veden. Förekommer främst i äldre bestånd med rik förekomst av lågor. Den fullbildade skalbaggen påträffas lättast från hösten till försommaren i puppkammaren. Den hotas av slutavverkningar och även gallring av för arten lämplig skog. Skogsbestånd med riklig förekomst av grova lågor med violticka bör om möjligt lämnas orörda (till båtnad för såväl denna art som bland andra gulbandad brunbagge </w:t>
      </w:r>
      <w:r>
        <w:rPr>
          <w:i/>
        </w:rPr>
        <w:t xml:space="preserve">Orchesia fasciata </w:t>
      </w:r>
      <w:r>
        <w:t xml:space="preserve">(NT), brunkantad brunbagge </w:t>
      </w:r>
      <w:r>
        <w:rPr>
          <w:i/>
        </w:rPr>
        <w:t xml:space="preserve">Dolotarsus lividus </w:t>
      </w:r>
      <w:r>
        <w:t>(RE)</w:t>
      </w:r>
      <w:r>
        <w:rPr>
          <w:i/>
        </w:rPr>
        <w:t xml:space="preserve"> </w:t>
      </w:r>
      <w:r>
        <w:t xml:space="preserve">och trefläckig brunbagge </w:t>
      </w:r>
      <w:r>
        <w:rPr>
          <w:i/>
        </w:rPr>
        <w:t>Wanachia triguttata</w:t>
      </w:r>
      <w:r>
        <w:t>) (SLU Artdatabanken, 2024).</w:t>
      </w:r>
    </w:p>
    <w:p>
      <w:r>
        <w:rPr>
          <w:b/>
        </w:rPr>
        <w:t>Grovticka</w:t>
      </w:r>
      <w:r>
        <w:t xml:space="preserve"> är i skogslandskapet främst knuten till naturskogsartad äldre barrskog. Den är där en värdefull ”gammelskogsindikator” och påträffas mest vid tallar som är över 200 år gamla (Nitare &amp; Skogsstyrelsen, 2019).</w:t>
      </w:r>
    </w:p>
    <w:p>
      <w:r>
        <w:rPr>
          <w:b/>
        </w:rPr>
        <w:t>Tallharticka (EN)</w:t>
      </w:r>
      <w:r>
        <w:t xml:space="preserve"> är knuten till gamla tallar i solvarma lägen, ofta på rikare mark med inslag av kalk eller grönsten. Den är placerad högst upp i Skogsstyrelsens värdepyramid för bedömning av skog med höga naturvärden och visar på starkt skyddsvärda gamla eller mycket gamla tallbestånd med höga naturvärden (Nitare &amp; Skogsstyrelsen, 2019).</w:t>
      </w:r>
    </w:p>
    <w:p>
      <w:r>
        <w:rPr>
          <w:b/>
        </w:rPr>
        <w:t xml:space="preserve">Tallticka (NT) </w:t>
      </w:r>
      <w:r>
        <w:t>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(SLU Artdatabanken, 2023; Nitare &amp; Skogsstyrelsen, 2019).</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rödlistan(SLU Artdatabanken, 2024).</w:t>
      </w:r>
    </w:p>
    <w:p>
      <w:r>
        <w:t>I det avverkningsanmälda området finns 3 fyndplatser för knärot registrerade på Artportalen. Figur 2 visar gränserna för buffertzoner på 50 m, som behöver lämnas kring fyndplatserna för att knärotslokalerna inte ska försvinna vid en avverkning. Av det avverkningsanmälda området överlappar 1.57 ha med buffertzonerna och får av detta skäl inte avverkas.</w:t>
      </w:r>
    </w:p>
    <w:p>
      <w:pPr>
        <w:pStyle w:val="Caption"/>
      </w:pPr>
      <w:r>
        <w:drawing>
          <wp:inline xmlns:a="http://schemas.openxmlformats.org/drawingml/2006/main" xmlns:pic="http://schemas.openxmlformats.org/drawingml/2006/picture">
            <wp:extent cx="5486400" cy="4843344"/>
            <wp:docPr id="2" name="Picture 2"/>
            <wp:cNvGraphicFramePr>
              <a:graphicFrameLocks noChangeAspect="1"/>
            </wp:cNvGraphicFramePr>
            <a:graphic>
              <a:graphicData uri="http://schemas.openxmlformats.org/drawingml/2006/picture">
                <pic:pic>
                  <pic:nvPicPr>
                    <pic:cNvPr id="0" name="A 58854-2021 karta knärot.png"/>
                    <pic:cNvPicPr/>
                  </pic:nvPicPr>
                  <pic:blipFill>
                    <a:blip r:embed="rId17"/>
                    <a:stretch>
                      <a:fillRect/>
                    </a:stretch>
                  </pic:blipFill>
                  <pic:spPr>
                    <a:xfrm>
                      <a:off x="0" y="0"/>
                      <a:ext cx="5486400" cy="4843344"/>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6272173, E 571906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2025-10-08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