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11409-2023 i Kalmar kommun</w:t>
      </w:r>
    </w:p>
    <w:p>
      <w:r>
        <w:t>Detta klagomål behandlar höga naturvärden i avverkningsanmälan A 11409-2023 i Kalmar kommun som inkom 2023-03-08 och omfattar 7,6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11409-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6264496, E 563384 i SWEREF 99 TM.</w:t>
      </w:r>
    </w:p>
    <w:p>
      <w:r>
        <w:t>Inom 25 meter från avverkningsanmälan finns fynd av 4 naturvårdsarter, varav 3 är rödlistade, 2 är fridlysta och 1 är signalart (S): gullvivefjäril (VU), gullklöver (NT), nordfladdermus (NT, §4a)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Gullvivefjäril (VU)</w:t>
      </w:r>
      <w:r>
        <w:t xml:space="preserve"> är knuten till värdväxten gullviva och varma lövskogsmiljöer med hassel och ädla lövträd på näringsrikare mark. Utvecklingsstadierna gynnas av en högre luftfuktighet och små variationer i dygnstemperaturen och fjärilarna uppträder oftast i små solbelysta gläntor, som kan vara trängre passager längs stigar och körspår genom buskmark eller gles skog. Artens behov av ett dynamiskt jordbrukslandskap med lägre intensitet i markanvändningen, skogsbete och längre perioder då betesmarker inte nyttjas tillfredsställs inte längre. Flertalet tidigare livsmiljöer på fastlandet har gått förlorade under 1900-talet genom plantering av gran eller genom alltför intensivt bete och för kraftig röjning av buskar, bland annat hassel. Fragmentering av gynnsamma habitat och isoleringen av kvarvarande populationer är ett allvarligt hot. Gullvivefjäril är typisk art för </w:t>
      </w:r>
      <w:r>
        <w:rPr>
          <w:i/>
        </w:rPr>
        <w:t xml:space="preserve">9070 Trädklädd betesmark, 6530 Lövängar </w:t>
      </w:r>
      <w:r>
        <w:t>och</w:t>
      </w:r>
      <w:r>
        <w:rPr>
          <w:i/>
        </w:rPr>
        <w:t xml:space="preserve"> 6510 Slåtterängar i låglandet </w:t>
      </w:r>
      <w:r>
        <w:t>(SLU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