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51898-2025 i Kalmar kommun</w:t>
      </w:r>
    </w:p>
    <w:p>
      <w:r>
        <w:t>Denna tillsynsbegäran behandlar höga naturvärden i avverkningsanmälan A 51898-2025 i Kalmar kommun som inkom 2025-10-22 och omfattar 1,1 ha.</w:t>
      </w:r>
    </w:p>
    <w:p>
      <w:pPr>
        <w:pStyle w:val="Caption"/>
      </w:pPr>
      <w:r>
        <w:drawing>
          <wp:inline xmlns:a="http://schemas.openxmlformats.org/drawingml/2006/main" xmlns:pic="http://schemas.openxmlformats.org/drawingml/2006/picture">
            <wp:extent cx="5321674" cy="5724000"/>
            <wp:docPr id="1" name="Picture 1"/>
            <wp:cNvGraphicFramePr>
              <a:graphicFrameLocks noChangeAspect="1"/>
            </wp:cNvGraphicFramePr>
            <a:graphic>
              <a:graphicData uri="http://schemas.openxmlformats.org/drawingml/2006/picture">
                <pic:pic>
                  <pic:nvPicPr>
                    <pic:cNvPr id="0" name="A 51898-2025 karta.png"/>
                    <pic:cNvPicPr/>
                  </pic:nvPicPr>
                  <pic:blipFill>
                    <a:blip r:embed="rId16"/>
                    <a:stretch>
                      <a:fillRect/>
                    </a:stretch>
                  </pic:blipFill>
                  <pic:spPr>
                    <a:xfrm>
                      <a:off x="0" y="0"/>
                      <a:ext cx="5321674" cy="5724000"/>
                    </a:xfrm>
                    <a:prstGeom prst="rect"/>
                  </pic:spPr>
                </pic:pic>
              </a:graphicData>
            </a:graphic>
          </wp:inline>
        </w:drawing>
      </w:r>
    </w:p>
    <w:p>
      <w:pPr>
        <w:pStyle w:val="Caption"/>
        <w:spacing w:after="240"/>
      </w:pPr>
      <w:r>
        <w:t>Figur 1. Fyndplatser för naturvårdsarter inom 18 meter från avverkningsanmälan. Markörer utan svart kant är placerade på fyndplatsen. Markörer med svart kant är placerade vid sidan av fyndplatsen och har ett svart streck som visar fyndplatsens exakta position. Kartans mittpunktskoordinat är N 6270340, E 560621 i SWEREF 99 TM.</w:t>
      </w:r>
    </w:p>
    <w:p>
      <w:r>
        <w:t>Inom 18 meter från avverkningsanmälan finns fynd av 18 naturvårdsarter, varav 9 är rödlistade, 12 är fridlysta, 3 är typiska (T) och 3 är signalarter (S): vit lavmätare (EN), grönfink (VU, §4), mindre bastardsvärmare (VU), entita (NT, T, §4), grönsångare (NT, §4), mindre hackspett (NT, T, §4), större aspvårvecklare (NT), sädesärla (NT, §4), vasspetsad sikelvinge (NT), ekoxe (S, §6), spindelbock (S), trollspinnare (S), spillkråka (T, §4), kungsfågel (§4), röd glada (§4), svartvit flugsnappare (§4), sångsvan (§4) och trana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Entita (NT, §4)</w:t>
      </w:r>
      <w:r>
        <w:t xml:space="preserve">, rödlistad som nära hotad och prioriterad art i Skogsvårdslagen, har häckningsrevir i anmälan. Minskningstakten innevarande 10-årsperiod beräknas till 20 (10–30) % och bedöms vara nära gränsvärdet för Sårbar (VU). Entitan är ortstrogen och reviret är i genomsnitt omkring 5 hektar, ibland uppåt 20 hektar stort. Entitan är en utpräglad lövskogsfågel som föredrar flerskiktade, gärna högvuxna skogar med inslag av äldre träd och välutvecklat buskskikt. Även alkärr med videsnår hör till de miljöer som utnyttjas. Arten häckar ofta i skogar som är svagt eller inte alls påverkade av skogsbruk, ofta rör det sig om värdekärnor med höga naturvärden. Entitan missgynnas av konventionellt skogsbruk och dess ortstrohet och dåliga spridningsförmåga gör den känslig för fragmentering. Entita är typisk art för </w:t>
      </w:r>
      <w:r>
        <w:rPr>
          <w:i/>
        </w:rPr>
        <w:t>9080 Lövsumpskog</w:t>
      </w:r>
      <w:r>
        <w:t xml:space="preserve"> (Skogsstyrelsen, 2016, SLU Artdatabanken, 2021).</w:t>
      </w:r>
    </w:p>
    <w:p>
      <w:r>
        <w:rPr>
          <w:b/>
        </w:rPr>
        <w:t>Grönsångare (NT, §4)</w:t>
      </w:r>
      <w:r>
        <w:t xml:space="preserve"> är rödlistad som nära hotad (NT) och fridlyst enligt 4§ artskyddsförordningen. Den har minskat med 17 (6–24) % under de senaste 10 åren och minskningstakten för den svenska populationen bedöms vara nära gränsvärdet för Sårbar (VU). (A2b). Arten häckar i högstammig skog, främst lövskog men även i granskog, i regel utan kraftigare undervegetation. Den förekommer i södra och mellersta Sverige samt i Norrlands kustland norrut till Norrbotten. Förekommer dessutom sällsynt i Norrlands inland (SLU Artdatabanken, 2024). Orsaken till grönsångarens nedgång och är oklar varvid det är viktigt att försiktighetsprincipen enligt 2 kap. 3 § miljöbalken tillämpas för att bevara artens livsmiljöer och vända den negativa trenden.</w:t>
      </w:r>
    </w:p>
    <w:p>
      <w:r>
        <w:rPr>
          <w:b/>
        </w:rPr>
        <w:t>Mindre hackspett (NT, §4)</w:t>
      </w:r>
      <w:r>
        <w:t xml:space="preserve"> är rödlistad som nära hotad, fridlyst och prioriterad art i Skogsvårdslagen. Minskningstakten har uppgått till 25 (10–40) % under de senaste 15 åren och bedöms vara nära gränsvärdet för Sårbar (VU). (A2bc). Arten har stora revir och höga krav när det gäller förekomst av lövskog på landskapsnivå. För att häcka framgångsrikt behöver ett par cirka 40 ha äldre lövdominerad skog inom ett område på upp till 200 ha. Under vintern kan födosök även ske i äldre grandominerad skog. Mindre hackspett är typisk art för </w:t>
      </w:r>
      <w:r>
        <w:rPr>
          <w:i/>
        </w:rPr>
        <w:t>9010 Taiga, 9750 Svämlövskog, 9080 Lövsumpskog, 9030 Landhöjningsskog och 9040 Fjällbjörkskog</w:t>
      </w:r>
      <w:r>
        <w:t xml:space="preserve"> (SLU Artdatabanken, 2021; Skogsstyrelsen, 2016).</w:t>
      </w:r>
    </w:p>
    <w:p>
      <w:r>
        <w:rPr>
          <w:b/>
        </w:rPr>
        <w:t xml:space="preserve">Större aspvårvecklare (NT) </w:t>
      </w:r>
      <w:r>
        <w:t>är en fjäril som hör hemma i naturskog med grov asp, som är larvens värdväxt. Artens förekomst är kraftigt fragmenterad och den finns inte i varje skogsparti med äldre asp. Vecklaren kräver kontinuitetsskog och hotas av skogsavverkning där hänsyn till gammal asp negligeras. Skydda löv- och blandskogar med lång kontinuitet (SLU Artdatabanken, 2025).</w:t>
      </w:r>
    </w:p>
    <w:p>
      <w:r>
        <w:rPr>
          <w:b/>
        </w:rPr>
        <w:t>Vasspetsad sikelvinge (NT)</w:t>
      </w:r>
      <w:r>
        <w:t xml:space="preserve"> är knuten till stora sammanhängande områden med bestånd av skogslind, som utgör fjärilslarvens föda. Arten hotas främst av slutavverkning av ädellövskog, men sannolikt också av alltför kraftig utglesning av trädbestånd som gör dem till mindre varma livsmiljöer. Alla kvarvarande större ursprungliga bestånd av skogslind med äldre träd och en lång kontinuitet, bör ges ett sådant skydd att de undantas all framtida avverkning. Antalet rödlistade växter och djur beroende av ädellövskog, där skogslind är ett av de dominerande inslagen, är mycket högt (SLU Artdatabanken, 2026).</w:t>
      </w:r>
    </w:p>
    <w:p>
      <w:r>
        <w:rPr>
          <w:b/>
        </w:rPr>
        <w:t xml:space="preserve">Ekoxe (§6) </w:t>
      </w:r>
      <w:r>
        <w:t>omfattas av EU:s art- och habitatdirektiv och är fridlyst enligt 6 § artskyddsförordningen.</w:t>
      </w:r>
      <w:r>
        <w:rPr>
          <w:b/>
        </w:rPr>
        <w:t xml:space="preserve"> </w:t>
      </w:r>
      <w:r>
        <w:t>Dess larvutveckling sker i och vid stubbar, i lågor med markkontakt och grövre döda rötter av olika lövträd, även i döda rotdelar på levande träd. I Sverige främst funnen i ek men även några gånger i bok, hassel, ask och björk. Arten lever främst i halvöppna miljöer såsom trädklädda hagmarker eller gles skog, gärna i sydsluttningar. Arten påverkas negativt av brist på grova eller gamla träd och det föreligger indikation på eller misstanke om populationsminskning. Minskningen avser kvalitén på artens habitat (SLU Artdatabanken, 2025).</w:t>
      </w:r>
    </w:p>
    <w:p>
      <w:r>
        <w:rPr>
          <w:b/>
        </w:rPr>
        <w:t>Spindelbock</w:t>
      </w:r>
      <w:r>
        <w:t xml:space="preserve"> är en långhorning vars larvutveckling sker under barken på nyligen döda grenar och stammar av olika lövträd, främst björk och asp, men även klibbal, ek, hassel, sälg och andra trädslag. Det föreligger indikation på eller misstanke om populationsminskning. Minskningen avser kvalitén på artens habitat på grund av fortsatt snabb avverkning av kontinuitetsskog i norra Sverige, samt ett ökat utnyttjande av flisved (GROT) för energiändamål och röjning i hagmarker på grund av ändrade miljöersättningsregler i den södra halvan av landet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Röd glada (§4)</w:t>
      </w:r>
      <w:r>
        <w:t xml:space="preserve"> är fridlyst enligt 4§ artskyddsförordningen och upptagen i bilaga 1 EU:s fågeldirektiv. Den häckar gärna i omväxlande landskap med mosaik av öppna marker och skogar. Tidigare studier har visat en förkärlek för att häcka nära sjöar, och häckningsframgången var också högre hos par som häckade nära vatten. Boet läggs i träd, ofta högt och vanligen nära skogsbryn. Missgynnas av skogliga åtgärder som lämnar boet allt för exponerat, främst genom för smala skyddszoner och för omfattande gallring. Lämna en skyddszon kring boplatser vid avverkning eller andra skogliga åtgärder. Bredden på skyddszonen beror på platsen, men som tumregel ska den ska vara så bred att boplatsen inte är väsentligt mer exponerad för insyn än tidigare. Spara samtliga träd med större risbon, även sådana där boet ser obebott ut. Avstå att avverka äldre lövdominerade bestånd, främst i anslutning till öppen jordbruksmark (SLU Artdatabanken, 2024;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Entita – ekologi samt krav på livsmiljön</w:t>
      </w:r>
    </w:p>
    <w:p>
      <w:r>
        <w:t xml:space="preserve">Entita (NT, §4) är rödlistad som nära hotad, fridlyst och prioriterad art enligt Skogsvårdslagen. Den omfattas av EU:s fågeldirektiv och är typisk art för </w:t>
      </w:r>
      <w:r>
        <w:rPr>
          <w:i/>
        </w:rPr>
        <w:t>9080 Lövsumpskog</w:t>
      </w:r>
      <w:r>
        <w:t>. Minskningstakten har uppgått till 20 (10–30) % under de senaste 10 åren och bedöms vara nära gränsvärdet för Sårbar (VU). (A2b) (SLU Artdatabanken, 2021).</w:t>
      </w:r>
    </w:p>
    <w:p>
      <w:r>
        <w:t>Entitan är en utpräglad lövskogsfågel som påträffas i ädellövskogar, strandskogar, ekhagar, igenväxande hagmarker, lövdungar, parker och trädgårdar. Den föredrar flerskiktade, gärna högvuxna skogar med inslag av äldre träd och med ett välutvecklat buskskikt. Ek- och hasseldominerade skogar och dungar, samt alkärr med videsnår, hör till de miljöer som ofta utnyttjas. I sydligaste Sverige är bokskog en viktig miljö (Skogsstyrelsen, 2016).</w:t>
      </w:r>
    </w:p>
    <w:p>
      <w:r>
        <w:t>Reviren är relativt stora för en småfågel, i genomsnitt omkring 5 hektar men de kan vara upp till 20 hektar. Entitan är en utpräglad stannfågel och rör sig inte långt från kläckningsplatsen; ungfåglarna sprider sig sällan mer än 5 km från födelseplatsen och etablerade fåglar lämnar därefter inte sitt revir (Skogsstyrelsen, 2016). Det häckande paret försvarar sitt revir året runt. De tillåter dock en grupp av ungfåglar att etablera sig inom deras revir och så bildas en vinterflock, vilket sker redan i juni månad. Även under kalla vintrar stannar entitan kvar inom sitt revir. Hittar man entitor vid sitt foderbord beror det på att fågelmatningen ligger inom ett entiterevir (SLU Artdatabanken, 2021). Arten är känslig för fragmentering och har svårt att etablera sig i isolerade skogsområden. Entitan är hålhäckare, men kan inte själv hacka fram sitt hål utan är beroende av miljöer som erbjuder naturliga hål (Skogsstyrelsen, 2016).</w:t>
      </w:r>
    </w:p>
    <w:p>
      <w:r>
        <w:t>Arten häckar ofta i skogar som är svagt eller inte alls påverkade av skogsbruk. Särskilt i Svealand ofta i skogar som har höga naturvärden och utgör skogliga värdekärnor. Entitan missgynnas av konventionellt skogsbruk genom minskad förekomst av risiga, flerskiktade skogar liksom av avverkning av lövträdsrika kantzoner. Entitans ortstrohet och dåliga spridningsförmåga gör den känslig för fragmentering (Skogsstyrelsen, 2016).</w:t>
      </w:r>
    </w:p>
    <w:p>
      <w:pPr>
        <w:pStyle w:val="Heading2"/>
      </w:pPr>
      <w:r>
        <w:t>Referenser – entita</w:t>
      </w:r>
    </w:p>
    <w:p>
      <w:r>
        <w:t xml:space="preserve">Skogsstyrelsen, 2016. </w:t>
      </w:r>
      <w:r>
        <w:rPr>
          <w:i/>
        </w:rPr>
        <w:t xml:space="preserve">Vägledning för hänsyn till entita. </w:t>
      </w:r>
      <w:r>
        <w:t>https://www.skogsstyrelsen.se/globalassets/lag-och-tillsyn/artskydd/vagledningar-for-hansyn-till-faglar/entita-vagledning-hansyn2.pdf</w:t>
      </w:r>
    </w:p>
    <w:p>
      <w:r>
        <w:t xml:space="preserve">SLU Artdatabanken, 2021. </w:t>
      </w:r>
      <w:r>
        <w:rPr>
          <w:i/>
        </w:rPr>
        <w:t xml:space="preserve">Artfaktablad. Naturvård – artfakta. </w:t>
      </w:r>
      <w:r>
        <w:t>SLU Artdatabanken, Uppsala</w:t>
      </w:r>
    </w:p>
    <w:p>
      <w:pPr>
        <w:pStyle w:val="Heading1"/>
      </w:pPr>
      <w:r>
        <w:t>Mindre hackspett – ekologi samt krav på livsmiljön</w:t>
      </w:r>
    </w:p>
    <w:p>
      <w:r>
        <w:t xml:space="preserve">Mindre hackspett (NT) är rödlistad som nära hotad, fridlyst och prioriterad art i Skogsvårdslagen. Den är typisk art för </w:t>
      </w:r>
      <w:r>
        <w:rPr>
          <w:i/>
        </w:rPr>
        <w:t>9010 Taiga, 9750 Svämlövskog, 9080 Lövsumpskog, 9030 Landhöjningsskog och 9040 Fjällbjörkskog</w:t>
      </w:r>
      <w:r>
        <w:t>. Minskningstakten har uppgått till 25 (10–40) % under de senaste 15 åren och bedöms vara nära gränsvärdet för Sårbar (VU). (A2bc). (SLU Artdatabanken 2021).</w:t>
      </w:r>
    </w:p>
    <w:p>
      <w:r>
        <w:t>Den mindre hackspetten lever i löv- och blandskog med förekomst av äldre lövträd, gärna ädellövträd i södra Sverige. Norrut förekommer arten i gamla löv- och blandskogar med al, björk och asp. Ett mycket glest bestånd förekommer i fjällbjörkskogen. Under vintern kan födosök ske även i äldre grandominerad skog, troligen för att den ger bättre skydd mot rovdjur och rovfåglar än ren lövskog. (SLU Artdatabanken, 2021).</w:t>
      </w:r>
    </w:p>
    <w:p>
      <w:r>
        <w:t>Arten har stora revir och höga krav när det gäller förekomst av lövskog på landskapsnivå. För att häcka framgångsrikt behöver ett par cirka 40 ha äldre lövdominerad skog inom ett område på upp till 200 ha. Under vintern utsträcks födosöket till ett större område på flera hundra hektar, men varje individ återvänder till samma natthål kväll efter kväll. Arten häckar i murkna lövträdsstammar eller stubbar (oftast klibbal eller björk), vanligen 3–7 meter över marken. Ett nytt bohål hackas ut varje vår (Skogsstyrelsen, 2016 &amp; SLU Artdatabanken, 2021).</w:t>
      </w:r>
    </w:p>
    <w:p>
      <w:r>
        <w:t>Den mindre hackspetten missgynnas av gallring i löv- och blandskogar, om lövträd tas bort. Vidare så missgynnas arten starkt genom avverkning av äldre lövträd, dränering och avverkning av al- och björkkärr, röjning eller gallring av täta strandskogar, alkärr samt borttagande av murkna träd och grenar. Nedhuggning av äldre hagmarksbjörkar och alar är också negativt. Arten hotas dessutom av biobränsleuttag i gamla inägomarker och andra lövskogar (Skogsstyrelsen, 2016 &amp; SLU Artdatabanken, 2021).</w:t>
      </w:r>
    </w:p>
    <w:p>
      <w:pPr>
        <w:pStyle w:val="Heading2"/>
      </w:pPr>
      <w:r>
        <w:t>Referenser – mindre hackspett</w:t>
      </w:r>
    </w:p>
    <w:p>
      <w:r>
        <w:t xml:space="preserve">Skogsstyrelsen, 2016. </w:t>
      </w:r>
      <w:r>
        <w:rPr>
          <w:i/>
        </w:rPr>
        <w:t xml:space="preserve">Vägledning för hänsyn till mindre hackspett. </w:t>
      </w:r>
      <w:r>
        <w:t>https://www.skogsstyrelsen.se/globalassets/lag-och-tillsyn/artskydd/vagledningar-for-hansyn-till-faglar/mindre-hackspett-vagledning-hansyn2.pdf</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