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514-2024 i Kalmar kommun</w:t>
      </w:r>
    </w:p>
    <w:p>
      <w:r>
        <w:t>Denna tillsynsbegäran behandlar höga naturvärden i samrådsanmälan S 514-2024 i Kalmar kommun som inkom 2024-02-23 och omfattar 6,1 ha.</w:t>
      </w:r>
    </w:p>
    <w:p>
      <w:pPr>
        <w:pStyle w:val="Caption"/>
      </w:pPr>
      <w:r>
        <w:drawing>
          <wp:inline xmlns:a="http://schemas.openxmlformats.org/drawingml/2006/main" xmlns:pic="http://schemas.openxmlformats.org/drawingml/2006/picture">
            <wp:extent cx="5486400" cy="5392132"/>
            <wp:docPr id="1" name="Picture 1"/>
            <wp:cNvGraphicFramePr>
              <a:graphicFrameLocks noChangeAspect="1"/>
            </wp:cNvGraphicFramePr>
            <a:graphic>
              <a:graphicData uri="http://schemas.openxmlformats.org/drawingml/2006/picture">
                <pic:pic>
                  <pic:nvPicPr>
                    <pic:cNvPr id="0" name="S 514-2024 karta.png"/>
                    <pic:cNvPicPr/>
                  </pic:nvPicPr>
                  <pic:blipFill>
                    <a:blip r:embed="rId16"/>
                    <a:stretch>
                      <a:fillRect/>
                    </a:stretch>
                  </pic:blipFill>
                  <pic:spPr>
                    <a:xfrm>
                      <a:off x="0" y="0"/>
                      <a:ext cx="5486400" cy="5392132"/>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6273985, E 558020 i SWEREF 99 TM.</w:t>
      </w:r>
    </w:p>
    <w:p>
      <w:r>
        <w:t>I och inom 23 meter från samrådsanmälan finns fynd av 17 naturvårdsarter, varav 9 är rödlistade, 5 är fridlysta, 11 är typiska (T) och 5 är signalarter (S): knärot (VU, T, §8), dropptaggsvamp (NT, T), orange taggsvamp (NT, T), sumpviol (NT, T), tallfingersvamp (NT), tallkötticka (NT), tallticka (NT, T), talltita (NT, §4), ullticka (NT, T), blomkålssvamp (S), blåmossa (S, T), bronshjon (S, T), grovticka (S, T), grönpyrola (S, T), spillkråka (T, §4), havsörn (§4) och röd glada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95 fyndplatser för knärot registrerade på Artportalen. Figur 2 visar gränserna för buffertzoner på 50 m, som behöver lämnas kring fyndplatserna för att knärotslokalerna inte ska försvinna vid en avverkning. Av det samrådsanmälda området överlappar 6.11 ha med buffertzonerna och får av detta skäl inte avverkas.</w:t>
      </w:r>
    </w:p>
    <w:p>
      <w:pPr>
        <w:pStyle w:val="Caption"/>
      </w:pPr>
      <w:r>
        <w:drawing>
          <wp:inline xmlns:a="http://schemas.openxmlformats.org/drawingml/2006/main" xmlns:pic="http://schemas.openxmlformats.org/drawingml/2006/picture">
            <wp:extent cx="5486400" cy="5147035"/>
            <wp:docPr id="2" name="Picture 2"/>
            <wp:cNvGraphicFramePr>
              <a:graphicFrameLocks noChangeAspect="1"/>
            </wp:cNvGraphicFramePr>
            <a:graphic>
              <a:graphicData uri="http://schemas.openxmlformats.org/drawingml/2006/picture">
                <pic:pic>
                  <pic:nvPicPr>
                    <pic:cNvPr id="0" name="S 514-2024 karta knärot.png"/>
                    <pic:cNvPicPr/>
                  </pic:nvPicPr>
                  <pic:blipFill>
                    <a:blip r:embed="rId17"/>
                    <a:stretch>
                      <a:fillRect/>
                    </a:stretch>
                  </pic:blipFill>
                  <pic:spPr>
                    <a:xfrm>
                      <a:off x="0" y="0"/>
                      <a:ext cx="5486400" cy="5147035"/>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6273985, E 558020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Sumpviol (NT) </w:t>
      </w:r>
      <w:r>
        <w:t xml:space="preserve">påträffas huvudsakligen längs lugnflytande vattendrag på fuktängar och i strandskogar med svämsediment. På det stora flertalet lokaler finns ett glest trädskikt av klibbal med inslag av björk eller ask, men violen kan också växa öppet i strandmader och i fuktig betesmark. En del lokaler, bland annat i Sydsverige utgörs också av klibbalkärr långt från sjöar och vattendrag. Kalavverkning och omfattande röjning har missgynnat arten på flera lokaler. Största hotet mot arten är dikning och kanalisering. Sumpviol är typisk art för </w:t>
      </w:r>
      <w:r>
        <w:rPr>
          <w:i/>
        </w:rPr>
        <w:t xml:space="preserve">9080 Lövsumpskog, 9750 Svämlövskog </w:t>
      </w:r>
      <w:r>
        <w:t>och</w:t>
      </w:r>
      <w:r>
        <w:rPr>
          <w:i/>
        </w:rPr>
        <w:t xml:space="preserve"> 9760 Svämädellövskog </w:t>
      </w:r>
      <w:r>
        <w:t>(SLU Artdatabanken, 2025).</w:t>
      </w:r>
    </w:p>
    <w:p>
      <w:r>
        <w:rPr>
          <w:b/>
        </w:rPr>
        <w:t xml:space="preserve">Tallfingersvamp (NT) </w:t>
      </w:r>
      <w:r>
        <w:t>bildar mykorrhiza med tall och gran i äldre barrskog, framför allt sandtallskog men även i annan näringsfattig barrskog, huvudsakligen i äldre kontinuitetsskog. Den totala populationen i landet har minskat och bedöms fortsätta minska till följd av avverkning av barrskogar med trädkontinuitet. Minskningstakten för den svenska populationen bedöms vara nära gränsvärdet för Sårbar (VU). Slutavverkning, gödsling eller exploatering måste undvikas (SLU Artdatabanken, 2026).</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r>
        <w:rPr>
          <w:b/>
        </w:rPr>
        <w:t>Röd glada (§4)</w:t>
      </w:r>
      <w:r>
        <w:t xml:space="preserve"> är fridlyst enligt 4§ artskyddsförordningen och upptagen i bilaga 1 EU:s fågeldirektiv. Den häckar gärna i omväxlande landskap med mosaik av öppna marker och skogar. Tidigare studier har visat en förkärlek för att häcka nära sjöar, och häckningsframgången var också högre hos par som häckade nära vatten. Boet läggs i träd, ofta högt och vanligen nära skogsbryn. Missgynnas av skogliga åtgärder som lämnar boet allt för exponerat, främst genom för smala skyddszoner och för omfattande gallring. Lämna en skyddszon kring boplatser vid avverkning eller andra skogliga åtgärder. Bredden på skyddszonen beror på platsen, men som tumregel ska den ska vara så bred att boplatsen inte är väsentligt mer exponerad för insyn än tidigare. Spara samtliga träd med större risbon, även sådana där boet ser obebott ut. Avstå att avverka äldre lövdominerade bestånd, främst i anslutning till öppen jordbruksmark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knärot (VU, T, §8), dropptaggsvamp (NT, T), orange taggsvamp (NT, T), sumpviol (NT, T), tallticka (NT, T), ullticka (NT, T), blåmossa (S, T), bronshjon (S, T), grovticka (S, T), grönpyrola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