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33826-2025 i Kalmar kommun</w:t>
      </w:r>
    </w:p>
    <w:p>
      <w:r>
        <w:t>Detta dokument behandlar höga naturvärden i avverkningsanmälan A 33826-2025 i Kalmar kommun. Denna avverkningsanmälan inkom 2025-07-04 11:17:18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tallticka (NT), vedtrappmossa (NT), blomkålssvamp (S), blåmossa (S), grovticka (S), havstulpanlav (S) och kornknutmossa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44837"/>
            <wp:docPr id="1" name="Picture 1"/>
            <wp:cNvGraphicFramePr>
              <a:graphicFrameLocks noChangeAspect="1"/>
            </wp:cNvGraphicFramePr>
            <a:graphic>
              <a:graphicData uri="http://schemas.openxmlformats.org/drawingml/2006/picture">
                <pic:pic>
                  <pic:nvPicPr>
                    <pic:cNvPr id="0" name="A 33826-2025 karta.png"/>
                    <pic:cNvPicPr/>
                  </pic:nvPicPr>
                  <pic:blipFill>
                    <a:blip r:embed="rId16"/>
                    <a:stretch>
                      <a:fillRect/>
                    </a:stretch>
                  </pic:blipFill>
                  <pic:spPr>
                    <a:xfrm>
                      <a:off x="0" y="0"/>
                      <a:ext cx="5486400" cy="5744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6273263, E 557314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Havstulpanlav</w:t>
      </w:r>
      <w:r>
        <w:t xml:space="preserve"> är en mycket bra signalart som överallt indikerar skogsbestånd med höga naturvärden. Den växer främst på barken av lövträd i gamla, skuggiga och fuktiga skogsmiljöer, men förekommer relativt ofta även på äldre gran i sumpskog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0.11 ha med buffertzonerna och får av detta skäl inte avverkas.</w:t>
      </w:r>
    </w:p>
    <w:p>
      <w:pPr>
        <w:pStyle w:val="Caption"/>
      </w:pPr>
      <w:r>
        <w:drawing>
          <wp:inline xmlns:a="http://schemas.openxmlformats.org/drawingml/2006/main" xmlns:pic="http://schemas.openxmlformats.org/drawingml/2006/picture">
            <wp:extent cx="5486400" cy="7165225"/>
            <wp:docPr id="2" name="Picture 2"/>
            <wp:cNvGraphicFramePr>
              <a:graphicFrameLocks noChangeAspect="1"/>
            </wp:cNvGraphicFramePr>
            <a:graphic>
              <a:graphicData uri="http://schemas.openxmlformats.org/drawingml/2006/picture">
                <pic:pic>
                  <pic:nvPicPr>
                    <pic:cNvPr id="0" name="A 33826-2025 karta knärot.png"/>
                    <pic:cNvPicPr/>
                  </pic:nvPicPr>
                  <pic:blipFill>
                    <a:blip r:embed="rId17"/>
                    <a:stretch>
                      <a:fillRect/>
                    </a:stretch>
                  </pic:blipFill>
                  <pic:spPr>
                    <a:xfrm>
                      <a:off x="0" y="0"/>
                      <a:ext cx="5486400" cy="716522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6273263, E 557314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