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45095-2021 i Kalmar kommun</w:t>
      </w:r>
    </w:p>
    <w:p>
      <w:r>
        <w:t>Detta dokument behandlar höga naturvärden i avverkningsanmälan A 45095-2021 i Kalmar kommun. Denna avverkningsanmälan inkom 2021-08-31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skogsalm (CR), porslinsblå spindling (VU), violgubbe (VU), fyrflikig jordstjärna (NT), fjällig taggsvamp s.str. (S), hasselsopp (S), murgröna (S), myskmadra (S), safsa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1191"/>
            <wp:docPr id="1" name="Picture 1"/>
            <wp:cNvGraphicFramePr>
              <a:graphicFrameLocks noChangeAspect="1"/>
            </wp:cNvGraphicFramePr>
            <a:graphic>
              <a:graphicData uri="http://schemas.openxmlformats.org/drawingml/2006/picture">
                <pic:pic>
                  <pic:nvPicPr>
                    <pic:cNvPr id="0" name="A 45095-2021 karta.png"/>
                    <pic:cNvPicPr/>
                  </pic:nvPicPr>
                  <pic:blipFill>
                    <a:blip r:embed="rId16"/>
                    <a:stretch>
                      <a:fillRect/>
                    </a:stretch>
                  </pic:blipFill>
                  <pic:spPr>
                    <a:xfrm>
                      <a:off x="0" y="0"/>
                      <a:ext cx="5486400" cy="3811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6303315, E 573776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r>
        <w:rPr>
          <w:b/>
        </w:rPr>
        <w:t>Porslinsblå spindling (VU)</w:t>
      </w:r>
      <w:r>
        <w:t xml:space="preserve"> är en mycket bra signalart på skyddsvärda kalkgranskogar där det föreligger långvarig grankontinuitet. Andelen äldre näringsrik granskog minskar i södra Sverige och därför fortsätter arten att minska. Det främsta hotet mot porslinsblå spindling är avverkning av de värdträd som den är helt beroende av. Den är placerad högst upp i Skogsstyrelsens värdepyramid för bedömning av skog med höga naturvärden och äldre granskogar där arten växer bör i möjligaste mån undantas från avverkning (SLU Artdatabanken, 2024; Nitare &amp; Skogsstyrelsen, 2019).</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