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55671-2021 i Kalmar kommun</w:t>
      </w:r>
    </w:p>
    <w:p>
      <w:r>
        <w:t>Detta dokument behandlar höga naturvärden i avverkningsanmälan A 55671-2021 i Kalmar kommun. Denna avverkningsanmälan inkom 2021-10-07 00:00:00 och omfattar 13,4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tallharticka (EN), knärot (VU, §8), Leptoporus erubescens (NT), talltita (NT, §4), blomkålssvamp (S), grovticka (S) och mindre märgborre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0498"/>
            <wp:docPr id="1" name="Picture 1"/>
            <wp:cNvGraphicFramePr>
              <a:graphicFrameLocks noChangeAspect="1"/>
            </wp:cNvGraphicFramePr>
            <a:graphic>
              <a:graphicData uri="http://schemas.openxmlformats.org/drawingml/2006/picture">
                <pic:pic>
                  <pic:nvPicPr>
                    <pic:cNvPr id="0" name="A 55671-2021 karta.png"/>
                    <pic:cNvPicPr/>
                  </pic:nvPicPr>
                  <pic:blipFill>
                    <a:blip r:embed="rId16"/>
                    <a:stretch>
                      <a:fillRect/>
                    </a:stretch>
                  </pic:blipFill>
                  <pic:spPr>
                    <a:xfrm>
                      <a:off x="0" y="0"/>
                      <a:ext cx="5486400" cy="417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6272509, E 572081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i/>
        </w:rPr>
        <w:t xml:space="preserve">Leptoporus erubescens </w:t>
      </w:r>
      <w:r>
        <w:rPr>
          <w:b/>
        </w:rPr>
        <w:t>(NT)</w:t>
      </w:r>
      <w:r>
        <w:t xml:space="preserve"> är tallens kötticka och har ofta ett mer resupinat växtsätt än den granlevande köttickan </w:t>
      </w:r>
      <w:r>
        <w:rPr>
          <w:i/>
        </w:rPr>
        <w:t>Leptoporus mollis</w:t>
      </w:r>
      <w:r>
        <w:t>. Artens förekomstarea och utbredning i Sverige är inte känd, men utifrån de fynd som rapporteras av kötticka på tall verkar den vara mer ovanlig än den granlevande. Den totala populationen bedöms därför ha minskat under de senaste 30 åren och fortsätter att minska i takt med att kontinuitetsskogar (skogar som inte kalavverkats) minskar i areal, samtidigt som att lämpliga miljöer inte återskapas i samma takt. Minskningstakten för den svenska populationen bedöms vara nära gränsvärdet för Sårbar (VU). (A2c+3c+4c)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Tallharticka (EN)</w:t>
      </w:r>
      <w:r>
        <w:t xml:space="preserve"> är knuten till gamla tallar i solvarma lägen, ofta på rikare mark med inslag av kalk eller grönsten. Den är placerad högst upp i Skogsstyrelsens värdepyramid för bedömning av skog med höga naturvärden och visar på starkt skyddsvärda gamla eller mycket gamla tallbestånd med höga naturvärden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0.73 ha med buffertzonerna och får av detta skäl inte avverkas.</w:t>
      </w:r>
    </w:p>
    <w:p>
      <w:pPr>
        <w:pStyle w:val="Caption"/>
      </w:pPr>
      <w:r>
        <w:drawing>
          <wp:inline xmlns:a="http://schemas.openxmlformats.org/drawingml/2006/main" xmlns:pic="http://schemas.openxmlformats.org/drawingml/2006/picture">
            <wp:extent cx="5486400" cy="5087476"/>
            <wp:docPr id="2" name="Picture 2"/>
            <wp:cNvGraphicFramePr>
              <a:graphicFrameLocks noChangeAspect="1"/>
            </wp:cNvGraphicFramePr>
            <a:graphic>
              <a:graphicData uri="http://schemas.openxmlformats.org/drawingml/2006/picture">
                <pic:pic>
                  <pic:nvPicPr>
                    <pic:cNvPr id="0" name="A 55671-2021 karta knärot.png"/>
                    <pic:cNvPicPr/>
                  </pic:nvPicPr>
                  <pic:blipFill>
                    <a:blip r:embed="rId17"/>
                    <a:stretch>
                      <a:fillRect/>
                    </a:stretch>
                  </pic:blipFill>
                  <pic:spPr>
                    <a:xfrm>
                      <a:off x="0" y="0"/>
                      <a:ext cx="5486400" cy="508747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6272509, E 572081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