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6436-2022 i Kalmar kommun</w:t>
      </w:r>
    </w:p>
    <w:p>
      <w:r>
        <w:t>Denna tillsynsbegäran behandlar höga naturvärden i samrådsanmälan S 6436-2022 i Kalmar kommun som inkom 2022-11-11 och omfattar 9,7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S 6436-2022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6273935, E 557907 i SWEREF 99 TM.</w:t>
      </w:r>
    </w:p>
    <w:p>
      <w:r>
        <w:t>I och inom 15 meter från samrådsanmälan finns fynd av 20 naturvårdsarter, varav 11 är rödlistade, 6 är fridlysta, 12 är typiska (T) och 5 är signalarter (S): knärot (VU, T, §8), raggbock (VU, T), dropptaggsvamp (NT, T), gransotdyna (NT), orange taggsvamp (NT, T), sumpviol (NT, T), tallfingersvamp (NT), tallkötticka (NT), tallticka (NT, T), talltita (NT, §4), ullticka (NT, T), blomkålssvamp (S), blåmossa (S, T), bronshjon (S, T), grovticka (S, T), grönpyrola (S, T), spillkråka (T, §4), havsörn (§4), kungsfågel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96 fyndplatser för knärot registrerade på Artportalen. Figur 2 visar gränserna för buffertzoner på 50 m, som behöver lämnas kring fyndplatserna för att knärotslokalerna inte ska försvinna vid en avverkning. Av det samrådsanmälda området överlappar 7.43 ha med buffertzonerna och får av detta skäl inte avverkas.</w:t>
      </w:r>
    </w:p>
    <w:p>
      <w:pPr>
        <w:pStyle w:val="Caption"/>
      </w:pPr>
      <w:r>
        <w:drawing>
          <wp:inline xmlns:a="http://schemas.openxmlformats.org/drawingml/2006/main" xmlns:pic="http://schemas.openxmlformats.org/drawingml/2006/picture">
            <wp:extent cx="5486400" cy="4364610"/>
            <wp:docPr id="2" name="Picture 2"/>
            <wp:cNvGraphicFramePr>
              <a:graphicFrameLocks noChangeAspect="1"/>
            </wp:cNvGraphicFramePr>
            <a:graphic>
              <a:graphicData uri="http://schemas.openxmlformats.org/drawingml/2006/picture">
                <pic:pic>
                  <pic:nvPicPr>
                    <pic:cNvPr id="0" name="S 6436-2022 karta knärot.png"/>
                    <pic:cNvPicPr/>
                  </pic:nvPicPr>
                  <pic:blipFill>
                    <a:blip r:embed="rId17"/>
                    <a:stretch>
                      <a:fillRect/>
                    </a:stretch>
                  </pic:blipFill>
                  <pic:spPr>
                    <a:xfrm>
                      <a:off x="0" y="0"/>
                      <a:ext cx="5486400" cy="436461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6273935, E 557907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Raggbock är typisk art för </w:t>
      </w:r>
      <w:r>
        <w:rPr>
          <w:i/>
        </w:rPr>
        <w:t>9010 Taiga</w:t>
      </w:r>
      <w:r>
        <w:t xml:space="preserve"> och</w:t>
      </w:r>
      <w:r>
        <w:rPr>
          <w:i/>
        </w:rPr>
        <w:t xml:space="preserve"> 9060 Åsbarrskog</w:t>
      </w:r>
      <w:r>
        <w:t xml:space="preserve"> (SLU Artdatabanken, 2024; Wikars, 2014; IUCN, 2010).</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Sumpviol (NT) </w:t>
      </w:r>
      <w:r>
        <w:t xml:space="preserve">påträffas huvudsakligen längs lugnflytande vattendrag på fuktängar och i strandskogar med svämsediment. På det stora flertalet lokaler finns ett glest trädskikt av klibbal med inslag av björk eller ask, men violen kan också växa öppet i strandmader och i fuktig betesmark. En del lokaler, bland annat i Sydsverige utgörs också av klibbalkärr långt från sjöar och vattendrag. Kalavverkning och omfattande röjning har missgynnat arten på flera lokaler. Största hotet mot arten är dikning och kanalisering. Sumpviol är typisk art för </w:t>
      </w:r>
      <w:r>
        <w:rPr>
          <w:i/>
        </w:rPr>
        <w:t xml:space="preserve">9080 Lövsumpskog, 9750 Svämlövskog </w:t>
      </w:r>
      <w:r>
        <w:t>och</w:t>
      </w:r>
      <w:r>
        <w:rPr>
          <w:i/>
        </w:rPr>
        <w:t xml:space="preserve"> 9760 Svämädellövskog </w:t>
      </w:r>
      <w:r>
        <w:t>(SLU Artdatabanken, 2025).</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knärot (VU, T, §8), raggbock (VU, T), dropptaggsvamp (NT, T), orange taggsvamp (NT, T), sumpviol (NT, T), tallticka (NT, T), ullticka (NT, T), blåmossa (S, T), bronshjon (S, T), grovticka (S,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