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dokument behandlar höga naturvärden i avverkningsanmälan A 15774-2026 i Kalmar kommun. Denna avverkningsanmälan inkom 2026-03-26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sandödla (VU, §4a), långbensgroda (NT, §4a), ekoxe (S, §6), bred kärrtrollslända (§4a), bred paljettdykare (§4a), bredkantad dykare (§4a), citronfläckad kärrtrollslända (§4a), grön mosaikslända (§4a), pudrad kärrtrollslända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6275106, E 566702 i SWEREF 99 TM.</w:t>
      </w:r>
    </w:p>
    <w:p>
      <w:pPr>
        <w:pStyle w:val="Heading1"/>
      </w:pPr>
      <w:r>
        <w:t>Fridlysta arter</w:t>
      </w:r>
    </w:p>
    <w:p>
      <w:r>
        <w:t>Följande fridlysta arter har sina livsmiljöer och växtplatser i den avverkningsanmälda skogen: sandödla (VU, §4a), långbensgroda (NT, §4a), ekoxe (S, §6), bred kärrtrollslända (§4a), bred paljettdykare (§4a), bredkantad dykare (§4a), citronfläckad kärrtrollslända (§4a), grön mosaikslända (§4a), pudrad kärrtrollslända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