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58854-2021 i Kalmar kommun</w:t>
      </w:r>
    </w:p>
    <w:p>
      <w:r>
        <w:t>Detta dokument behandlar höga naturvärden i avverkningsanmälan A 58854-2021 i Kalmar kommun. Denna avverkningsanmälan inkom 2021-10-20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tallharticka (EN), jätteknäppare (VU), knärot (VU, §8), gropig brunbagge (NT), Pediacus depressus (NT), tallticka (NT), blomkålssvamp (S) och grovticka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58854-2021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6272173, E 571906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Gropig brunbagge (NT)</w:t>
      </w:r>
      <w:r>
        <w:t xml:space="preserve"> är en skalbagge vars larvutveckling sker i mycel av violticka (</w:t>
      </w:r>
      <w:r>
        <w:rPr>
          <w:i/>
        </w:rPr>
        <w:t>Trichaptum abietinum</w:t>
      </w:r>
      <w:r>
        <w:t xml:space="preserve">) under barken på döda, stående eller liggande granar och tallar. Larven lever av svampens mycel mellan bark och ved, någon gång även ytligt i veden. Förekommer främst i äldre bestånd med rik förekomst av lågor. Den fullbildade skalbaggen påträffas lättast från hösten till försommaren i puppkammaren. Den hotas av slutavverkningar och även gallring av för arten lämplig skog. Skogsbestånd med riklig förekomst av grova lågor med violticka bör om möjligt lämnas orörda (till båtnad för såväl denna art som bland andra gulbandad brunbagge </w:t>
      </w:r>
      <w:r>
        <w:rPr>
          <w:i/>
        </w:rPr>
        <w:t xml:space="preserve">Orchesia fasciata </w:t>
      </w:r>
      <w:r>
        <w:t xml:space="preserve">(NT), brunkantad brunbagge </w:t>
      </w:r>
      <w:r>
        <w:rPr>
          <w:i/>
        </w:rPr>
        <w:t xml:space="preserve">Dolotarsus lividus </w:t>
      </w:r>
      <w:r>
        <w:t>(RE)</w:t>
      </w:r>
      <w:r>
        <w:rPr>
          <w:i/>
        </w:rPr>
        <w:t xml:space="preserve"> </w:t>
      </w:r>
      <w:r>
        <w:t xml:space="preserve">och trefläckig brunbagge </w:t>
      </w:r>
      <w:r>
        <w:rPr>
          <w:i/>
        </w:rPr>
        <w:t>Wanachia triguttata</w:t>
      </w:r>
      <w:r>
        <w:t>)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Jätteknäppare (NT) </w:t>
      </w:r>
      <w:r>
        <w:t>är en skalbagge vars larvutveckling sker i solexponerade högstubbar av tall, främst i glesa naturskogsbestånd av tall. Fullbildade skalbaggar påträffas främst i juli-augusti, de är nattaktiva och dras till ljus. Arten påverkas negativt av brist på kontinuitetsskog och det föreligger indikation på eller misstanke om populationsminskning. Minskningen avser kvalitén på artens habitat (SLU Artdatabanken, 2026).</w:t>
      </w:r>
    </w:p>
    <w:p>
      <w:r>
        <w:rPr>
          <w:b/>
          <w:i/>
        </w:rPr>
        <w:t>Pediacus depressus</w:t>
      </w:r>
      <w:r>
        <w:rPr>
          <w:b/>
        </w:rPr>
        <w:t xml:space="preserve"> (NT) </w:t>
      </w:r>
      <w:r>
        <w:t>är en skalbagge vars larvutveckling sker under bark och i svampig ved i solexponerade grenar, stammar och stubbar av barr- och lövträd, främst ek och tall men även asp, pil, lind, bok, lönn, al och gran. Arten påverkas negativt av brist på död ved och en minskning av populationen pågår eller förväntas ske. Minskningen avser kvalitén på artens habitat (SLU Artdatabanken, 2025).</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1.57 ha med buffertzonerna och får av detta skäl inte avverkas.</w:t>
      </w:r>
    </w:p>
    <w:p>
      <w:pPr>
        <w:pStyle w:val="Caption"/>
      </w:pPr>
      <w:r>
        <w:drawing>
          <wp:inline xmlns:a="http://schemas.openxmlformats.org/drawingml/2006/main" xmlns:pic="http://schemas.openxmlformats.org/drawingml/2006/picture">
            <wp:extent cx="5486400" cy="4843344"/>
            <wp:docPr id="2" name="Picture 2"/>
            <wp:cNvGraphicFramePr>
              <a:graphicFrameLocks noChangeAspect="1"/>
            </wp:cNvGraphicFramePr>
            <a:graphic>
              <a:graphicData uri="http://schemas.openxmlformats.org/drawingml/2006/picture">
                <pic:pic>
                  <pic:nvPicPr>
                    <pic:cNvPr id="0" name="A 58854-2021 karta knärot.png"/>
                    <pic:cNvPicPr/>
                  </pic:nvPicPr>
                  <pic:blipFill>
                    <a:blip r:embed="rId17"/>
                    <a:stretch>
                      <a:fillRect/>
                    </a:stretch>
                  </pic:blipFill>
                  <pic:spPr>
                    <a:xfrm>
                      <a:off x="0" y="0"/>
                      <a:ext cx="5486400" cy="48433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6272173, E 571906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