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797-2020 i Nybro kommun</w:t>
      </w:r>
    </w:p>
    <w:p>
      <w:r>
        <w:t>Denna tillsynsbegäran behandlar höga naturvärden i samrådsanmälan S 797-2020 i Nybro kommun som inkom 2020-04-08 och omfattar 1,2 ha.</w:t>
      </w:r>
    </w:p>
    <w:p>
      <w:pPr>
        <w:pStyle w:val="Caption"/>
      </w:pPr>
      <w:r>
        <w:drawing>
          <wp:inline xmlns:a="http://schemas.openxmlformats.org/drawingml/2006/main" xmlns:pic="http://schemas.openxmlformats.org/drawingml/2006/picture">
            <wp:extent cx="5486400" cy="4870477"/>
            <wp:docPr id="1" name="Picture 1"/>
            <wp:cNvGraphicFramePr>
              <a:graphicFrameLocks noChangeAspect="1"/>
            </wp:cNvGraphicFramePr>
            <a:graphic>
              <a:graphicData uri="http://schemas.openxmlformats.org/drawingml/2006/picture">
                <pic:pic>
                  <pic:nvPicPr>
                    <pic:cNvPr id="0" name="S 797-2020 karta.png"/>
                    <pic:cNvPicPr/>
                  </pic:nvPicPr>
                  <pic:blipFill>
                    <a:blip r:embed="rId16"/>
                    <a:stretch>
                      <a:fillRect/>
                    </a:stretch>
                  </pic:blipFill>
                  <pic:spPr>
                    <a:xfrm>
                      <a:off x="0" y="0"/>
                      <a:ext cx="5486400" cy="4870477"/>
                    </a:xfrm>
                    <a:prstGeom prst="rect"/>
                  </pic:spPr>
                </pic:pic>
              </a:graphicData>
            </a:graphic>
          </wp:inline>
        </w:drawing>
      </w:r>
    </w:p>
    <w:p>
      <w:pPr>
        <w:pStyle w:val="Caption"/>
        <w:spacing w:after="240"/>
      </w:pPr>
      <w:r>
        <w:t>Figur 1. Fyndplatser för naturvårdsarter i och inom 24 meter från samrådsanmälan. Markörer utan svart kant är placerade på fyndplatsen. Markörer med svart kant är placerade vid sidan av fyndplatsen och har ett svart streck som visar fyndplatsens exakta position. Kartans mittpunktskoordinat är N 6272669, E 552455 i SWEREF 99 TM.</w:t>
      </w:r>
    </w:p>
    <w:p>
      <w:r>
        <w:t>I och inom 24 meter från samrådsanmälan finns fynd av 12 naturvårdsarter, varav 4 är rödlistade, 9 är typiska (T) och 8 är signalarter (S): gulvit blekspik (VU, T), klosterlav (VU), grynig filtlav (NT, T), stjärnnästing (NT), fällmossa (S, T), guldlockmossa (S, T), platt fjädermossa (S, T), rostfläck (S, T), sotlav (S, T), traslav (S), trubbfjädermossa (S, T) och trädporella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Gulvit blekspik (VU)</w:t>
      </w:r>
      <w:r>
        <w:t xml:space="preserve"> växer främst på öppet stående, grova ädellövträd av framförallt ask och alm samt ibland även på lönn. Arten förekommer ofta i hagmarker, lövängar, parker och i alléer. Aktuella förekomster bör skyddas, speciellt förekomster som inte växer på alm och ask. Eftersom alm- och askskottsjukan är det allvarligaste hotet är åtgärder för att motverka dessa sjukdomar mycket viktigt. Alla blekspikar av släktet </w:t>
      </w:r>
      <w:r>
        <w:rPr>
          <w:i/>
        </w:rPr>
        <w:t>Sclerophora</w:t>
      </w:r>
      <w:r>
        <w:t xml:space="preserve"> ​​​​är utmärkta signalarter för gamla träd och skogsområden med höga naturvärden. Gulvit blekspik är typisk art för </w:t>
      </w:r>
      <w:r>
        <w:rPr>
          <w:i/>
        </w:rPr>
        <w:t>9020 Nordlig ädellövskog, 9070 Trädklädd betesmark, 9180 Ädellövskog i branter</w:t>
      </w:r>
      <w:r>
        <w:t xml:space="preserve"> och </w:t>
      </w:r>
      <w:r>
        <w:rPr>
          <w:i/>
        </w:rPr>
        <w:t>6530 Lövängar</w:t>
      </w:r>
      <w:r>
        <w:t xml:space="preserve"> (SLU Artdatabanken, 2024; Nitare &amp; Skogsstyrelsen, 2019).</w:t>
      </w:r>
    </w:p>
    <w:p>
      <w:r>
        <w:rPr>
          <w:b/>
        </w:rPr>
        <w:t>Klosterlav (VU)</w:t>
      </w:r>
      <w:r>
        <w:t xml:space="preserve"> växer på grov bark på stammar av framför allt ädellövträd som ask, bok, alm, lönn och lind, men fynd finns även på fläder och knäckepil. Klosterlaven finns både i sluten skog och i halvöppna till öppna miljöer, bl.a. på hamlade träd (solitära eller i löväng), i blandad ädellövskog och i ren bokskog. Arten förekommer vanligen vid basen av träden, men kan växa på upp till två meters höjd. På ljusa lokaler växer laven i sprickor på trädens skuggsida. Lokalerna har lång kontinuitet på gamla träd, hög luftfuktighet och andra rödlistade lavar förekommer ofta tillsammans med klosterlaven. Klosterlaven gynnas av att man sparar skog med lång kontinuitet, gamla vårdträd och lövängar. Alltför snabbt upptagande av hävden av lövängar kan innebära att laven skadas av den snabba förändringen till ett ljusare och torrare lokalklimat (SLU Artdatabanken, 2024).</w:t>
      </w:r>
    </w:p>
    <w:p>
      <w:r>
        <w:rPr>
          <w:b/>
        </w:rPr>
        <w:t>Grynig filtlav (NT)</w:t>
      </w:r>
      <w:r>
        <w:t xml:space="preserve"> tillhör en grupp fuktighetskrävande, storväxta bladlavar där också bl.a. lunglav (NT) ingår. Den växer framför allt på gamla mossiga stammar av lövträd, särskilt ädellövträd samt asp och sälg, i kulturmarker, lövskogar, halvöppna och lövrika barrblandskogar i områden med hög luftfuktighet. Arten indikerar långvarig förekomst av gamla lövträd och ett mikroklimat med konstant hög och jämn luftfuktighet. Grynig filtlav är typisk art för </w:t>
      </w:r>
      <w:r>
        <w:rPr>
          <w:i/>
        </w:rPr>
        <w:t>9010 Taiga, 9020 Nordlig ädellövskog, 9110 Näringsfattig bokskog, 9130 Näringsrik bokskog, 9160 Näringsrik ekskog, 9180 Ädellövskog i branter,</w:t>
      </w:r>
      <w:r>
        <w:t xml:space="preserve"> </w:t>
      </w:r>
      <w:r>
        <w:rPr>
          <w:i/>
        </w:rPr>
        <w:t>9190 Näringsfattig ekskog</w:t>
      </w:r>
      <w:r>
        <w:t xml:space="preserve"> och </w:t>
      </w:r>
      <w:r>
        <w:rPr>
          <w:i/>
        </w:rPr>
        <w:t>9070 Trädklädd betesmark</w:t>
      </w:r>
      <w:r>
        <w:t xml:space="preserve"> (SLU Artdatabanken, 2024; Nitare &amp; Skogsstyrelsen, 2019).</w:t>
      </w:r>
    </w:p>
    <w:p>
      <w:r>
        <w:rPr>
          <w:b/>
        </w:rPr>
        <w:t>Stjärnnästing (NT)</w:t>
      </w:r>
      <w:r>
        <w:t xml:space="preserve"> är en nedbrytare i bark och på grenar av alm. Total population i landet bedöms minska kraftigt de kommande 20 åren p.g.a. almsjukan. Stjärnnästing bör eftersökas i nordliga eller andra bestånd av alm som kan tänkas överleva almsjukan (SLU Artdatabanken, 2026).</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r>
        <w:rPr>
          <w:b/>
        </w:rPr>
        <w:t>Sotlav</w:t>
      </w:r>
      <w:r>
        <w:t xml:space="preserve"> är överallt en mycket bra signalart och visar alltid på skogsmiljöer med höga naturvärden. Den indikerar långvarig förekomst av gamla eller döda träd. På lavens växtlokaler finns vanligen många andra ovanliga arter. Sotlav är typisk art för </w:t>
      </w:r>
      <w:r>
        <w:rPr>
          <w:i/>
        </w:rPr>
        <w:t xml:space="preserve">9010 Taiga </w:t>
      </w:r>
      <w:r>
        <w:t>och</w:t>
      </w:r>
      <w:r>
        <w:rPr>
          <w:i/>
        </w:rPr>
        <w:t xml:space="preserve"> 9070 Trädklädd betesmark</w:t>
      </w:r>
      <w:r>
        <w:t xml:space="preserve"> (Nitare &amp; Skogsstyrelsen, 2019; SLU Artdatabanken, 2025).</w:t>
      </w:r>
    </w:p>
    <w:p>
      <w:r>
        <w:rPr>
          <w:b/>
        </w:rPr>
        <w:t>Trubbfjädermossa</w:t>
      </w:r>
      <w:r>
        <w:t xml:space="preserve"> signalerar vanligtvis skog med höga naturvärden och den växer på något skuggade block eller trädbaser, oftast nära marken, eller på jord intill vattendrag. Den trivs bäst i ädellövskog och förekommer ofta tillsammans med baronmossor </w:t>
      </w:r>
      <w:r>
        <w:rPr>
          <w:i/>
        </w:rPr>
        <w:t>Anomodon</w:t>
      </w:r>
      <w:r>
        <w:t xml:space="preserve"> och fjädermossor</w:t>
      </w:r>
      <w:r>
        <w:rPr>
          <w:i/>
        </w:rPr>
        <w:t xml:space="preserve"> Neckera</w:t>
      </w:r>
      <w:r>
        <w:t xml:space="preserve">. Trubbfjädermossa är typisk art för </w:t>
      </w:r>
      <w:r>
        <w:rPr>
          <w:i/>
        </w:rPr>
        <w:t>9020 Nordlig ädellövskog,</w:t>
      </w:r>
      <w:r>
        <w:t xml:space="preserve"> </w:t>
      </w:r>
      <w:r>
        <w:rPr>
          <w:i/>
        </w:rPr>
        <w:t xml:space="preserve">9080 Lövsumpskog, 9750 Svämlövskog, 9110 Näringsfattig bokskog, 9130 Näringsrik bokskog </w:t>
      </w:r>
      <w:r>
        <w:t xml:space="preserve">och </w:t>
      </w:r>
      <w:r>
        <w:rPr>
          <w:i/>
        </w:rPr>
        <w:t xml:space="preserve">9760 Svämädellövskog </w:t>
      </w:r>
      <w:r>
        <w:t>(Nitare &amp; Skogsstyrelsen, 2019; SLU Artdatabanken, 2025).</w:t>
      </w:r>
    </w:p>
    <w:p>
      <w:r>
        <w:rPr>
          <w:b/>
        </w:rPr>
        <w:t xml:space="preserve">Trädporella </w:t>
      </w:r>
      <w:r>
        <w:t xml:space="preserve">är i stora delar av landet en utmärkt signal på skog med höga naturvärden och ofta påträffas många ovanliga och rödlistade arter på dess lokaler. Den växer huvudsakligen på grova ädellövträd i skuggiga och fuktiga miljöer, främst i slutna ädellövskogar och bergbranter med inslag av kalk- eller grönsten. Trädporella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gulvit blekspik (VU, T), grynig filtlav (NT, T), fällmossa (S, T), guldlockmossa (S, T), platt fjädermossa (S, T), rostfläck (S, T), sotlav (S, T), trubbfjädermossa (S, T) och trädporella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