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22085-2026 i Nybro kommun</w:t>
      </w:r>
    </w:p>
    <w:p>
      <w:r>
        <w:t>Denna tillsynsbegäran behandlar höga naturvärden i avverkningsanmälan A 22085-2026 i Nybro kommun som inkom 2026-05-11 och omfattar 1,5 ha.</w:t>
      </w:r>
    </w:p>
    <w:p>
      <w:pPr>
        <w:pStyle w:val="Caption"/>
      </w:pPr>
      <w:r>
        <w:drawing>
          <wp:inline xmlns:a="http://schemas.openxmlformats.org/drawingml/2006/main" xmlns:pic="http://schemas.openxmlformats.org/drawingml/2006/picture">
            <wp:extent cx="5486400" cy="4656841"/>
            <wp:docPr id="1" name="Picture 1"/>
            <wp:cNvGraphicFramePr>
              <a:graphicFrameLocks noChangeAspect="1"/>
            </wp:cNvGraphicFramePr>
            <a:graphic>
              <a:graphicData uri="http://schemas.openxmlformats.org/drawingml/2006/picture">
                <pic:pic>
                  <pic:nvPicPr>
                    <pic:cNvPr id="0" name="A 22085-2026 karta.png"/>
                    <pic:cNvPicPr/>
                  </pic:nvPicPr>
                  <pic:blipFill>
                    <a:blip r:embed="rId16"/>
                    <a:stretch>
                      <a:fillRect/>
                    </a:stretch>
                  </pic:blipFill>
                  <pic:spPr>
                    <a:xfrm>
                      <a:off x="0" y="0"/>
                      <a:ext cx="5486400" cy="4656841"/>
                    </a:xfrm>
                    <a:prstGeom prst="rect"/>
                  </pic:spPr>
                </pic:pic>
              </a:graphicData>
            </a:graphic>
          </wp:inline>
        </w:drawing>
      </w:r>
    </w:p>
    <w:p>
      <w:pPr>
        <w:pStyle w:val="Caption"/>
        <w:spacing w:after="240"/>
      </w:pPr>
      <w:r>
        <w:t>Figur 1. Fyndplatser för naturvårdsarter i och inom 4 meter från avverkningsanmälan. Markörer utan svart kant är placerade på fyndplatsen. Markörer med svart kant är placerade vid sidan av fyndplatsen och har ett svart streck som visar fyndplatsens exakta position. Kartans mittpunktskoordinat är N 6323501, E 547047 i SWEREF 99 TM.</w:t>
      </w:r>
    </w:p>
    <w:p>
      <w:r>
        <w:t>I och inom 4 meter från avverkningsanmälan finns fynd av 6 naturvårdsarter, varav 4 är rödlistade och 6 är fridlysta: barbastell (NT, §4a), fransfladdermus (NT, §4a), nordfladdermus (NT, §4a), talltita (NT, §4), dvärgpipistrell (§4a) och större brunfladdermus (§4a).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Barbastell (NT, §4a) </w:t>
      </w:r>
      <w:r>
        <w:t>omfattas av bilaga 2 och 4 EU:s art- och habitatdirektiv vilket innebär att arten och dess livsmiljöer är strikt skyddade samt att Natura 2000-områden ska inrättas. Den är globalt rödlistad som nära hotad (NT) och i den europeiska rödlistan är den klassad som sårbar (VU). Barbastell omfattas av ett åtgärdsprogram för hotade arter (ÅGP) och inför upprättandet av åtgärdsprogrammet för arten 2015, konstaterade EU-kommissionen att Sverige inte skyddat tillräckligt med områden för arten i boreal biogeografisk region (SLU Artdatabanken, 2024; IUCN, 2016; Ahlén, 2015).</w:t>
      </w:r>
    </w:p>
    <w:p>
      <w:r>
        <w:t>Barbastellen föredrar ett halvöppet landskap med betes- och slåttermarker och gamla bondeskogar där den är speciellt inriktad på att ta fjärilar, framför allt småfjärilar, men även andra smådjursgrupper, t.ex. tvåvingar och spindlar. Bevarande av livsmiljöer är särskilt relevant i gammaldags utmarksskog eftersom det är en biotop som drastiskt minskat och hotas av skogsbruk. Om sådan skog kalavverkas och ersätts av ett plantageskogsbruk är förutsättningarna för förekomst av barbastell förstörda för lång tid framåt. Utvecklingen på Sydsvenska höglandet där huvuddelen av populationen finns är osäker och pågående landskapsförändringar befaras kunna leda till minskning med regionala och lokala försvinnande inom den kommande 21 års perioden. Minskningstakten för den svenska populationen bedöms vara nära gränsvärdet för Sårbar (VU). (A3c) (SLU Artdatabanken, 2024; Ahlén, 2015).</w:t>
      </w:r>
    </w:p>
    <w:p>
      <w:r>
        <w:rPr>
          <w:b/>
        </w:rPr>
        <w:t>Fransfladdermus (NT, §4a)</w:t>
      </w:r>
      <w:r>
        <w:t xml:space="preserve"> omfattas av bilaga 4 EU:s art- och habitatdirektiv vilket innebär ett strikt skydd för arten och dess livsmiljöer. Arten är känslig för fragmentering av skogsbiotoper och undviker att passera öppna områden. Avverkning av hålträd, dränering, minskad biotopvariation, till exempel igenplantering av ängs- och hagmark påverkar arten negativt och det är viktigt att bevara ett varierat landskap med inslag av sumpskogar och lövrika skogar intill vatten och vattendrag. Fransfladdermus är typisk art för </w:t>
      </w:r>
      <w:r>
        <w:rPr>
          <w:i/>
        </w:rPr>
        <w:t>8310 Grottor</w:t>
      </w:r>
      <w:r>
        <w:t xml:space="preserve"> och </w:t>
      </w:r>
      <w:r>
        <w:rPr>
          <w:i/>
        </w:rPr>
        <w:t>8330 Havsgrottor</w:t>
      </w:r>
      <w:r>
        <w:t xml:space="preserve"> (SLU Artdatabanken, 2024).</w:t>
      </w:r>
    </w:p>
    <w:p>
      <w:r>
        <w:rPr>
          <w:b/>
        </w:rPr>
        <w:t>Nordfladdermus (NT, §4a)</w:t>
      </w:r>
      <w:r>
        <w:t xml:space="preserve"> omfattas av bilaga 4 EU:s art- och habitatdirektiv vilket innebär ett strikt skydd där arten och dess livsmiljöer ska bevaras. 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Nordfladdermus har minskat med 27,5 (5–50) % under de senaste 21 åren och minskningstakten för den svenska populationen bedöms vara nära gränsvärdet för Sårbar (VU). (A2bc) (SLU Artdatabanken, 2024; Skogsstyrelsen, 2016).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Dvärgpipistrell (§4a)</w:t>
      </w:r>
      <w:r>
        <w:t xml:space="preserve"> omfattas av bilaga 4 EU:s art- och habitatdirektiv vilket innebär ett strikt skydd där arten och dess livsmiljöer ska bevaras.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rPr>
          <w:b/>
        </w:rPr>
        <w:t>Större brunfladdermus (§4a)</w:t>
      </w:r>
      <w:r>
        <w:t xml:space="preserve"> omfattas av bilaga 4 EU:s art- och habitatdirektiv vilket innebär ett strikt skydd där arten och dess livsmiljöer ska bevaras. Den lever huvudsakligen i större skogsområden med gamla lövträdsbestånd, där den jagar i alla typer av öppna och halvöppna miljöer, ofta över stora sjöar och vattendrag, strandängar, betes- och slåttermarker. Under året utnyttjar fladdermössen många olika miljöer och ett effektivt bevarandearbete måste därför utgå från ett landskapsekologiskt perspektiv. 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Gamla träd med grov bark, skador, håligheter eller döda delar bör lämnas och yngre träd (efterträdare) tillåtas finnas kvar och åldras för att säkra framtida förekomst av lämpliga yngelmiljöer. Övervintringsplatser måste skyddas effektivt från störningar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Barbastell – ekologi samt krav på livsmiljön</w:t>
      </w:r>
    </w:p>
    <w:p>
      <w:r>
        <w:t>Barbastell (NT, §4a) omfattas av bilaga 2 och 4 EU:s art- och habitatdirektiv vilket innebär att arten och dess livsmiljöer är strikt skyddade samt att Natura 2000-områden ska inrättas. Barbastell är globalt rödlistad som nära hotad (NT) och i den europeiska rödlistan är den klassad som sårbar (VU). Den omfattas av ett åtgärdsprogram för hotade arter (ÅGP) och inför upprättandet av åtgärdsprogrammet för arten 2015, konstaterade EU-kommissionen att Sverige inte skyddat tillräckligt med områden för barbastell i boreal biogeografisk region (SLU Artdatabanken, 2024; IUCN, 2016; Ahlén, 2015).</w:t>
      </w:r>
    </w:p>
    <w:p>
      <w:r>
        <w:t>Barbastellen förekommer från Skåne och Blekinge i söder till Västra Götaland och Östergötland i norr. Den föredrar ett halvöppet landskap med betes- och slåttermarker och gamla bondeskogar där den är speciellt inriktad på att ta fjärilar, framför allt småfjärilar, men även andra smådjursgrupper, t.ex. tvåvingar och spindlar.  Utvecklingen på Sydsvenska höglandet där huvuddelen av populationen finns är osäker och pågående landskapsförändringar befaras kunna leda till minskning med regionala och lokala försvinnande inom den kommande 21 års perioden. Minskningstakten för den svenska populationen bedöms vara nära gränsvärdet för Sårbar (VU). (A3c) (SLU Artdatabanken, 2024; Ahlén, 2015).</w:t>
      </w:r>
    </w:p>
    <w:p>
      <w:r>
        <w:t>Kärnområdet i norra Småland och södra Östergötland kännetecknas av äldre genuin gårdsbebyggelse, ofta i byar med flera näraliggande gårdar och ladugårdar. I omgivningarna finns vanligen rikligt med äldre, grova tidigare hamlade träd och andra äldre lövträd, beteshagar och ängar, gärna med översilningsmark och kärr. Trädgårdar av äldre typ, icke alltför intensivt skötta, utgör också en viktig jaktbiotop. Barbastell jagar mest i närområdet kring kolonierna, men gör också regelbundet besök i skogsområdena runtom och jagar där bl.a. i äldre typ av skog som ännu bär spår av utmarksbete. Data från både västra och östra Småland visar att de regelbundet flyger minst 4 km från kolonimiljöerna. Mycket av dessa skogar har avverkats och ersatts av kalhyggen och planterade ungskogar vilket troligen är huvudorsaken till försvinnandet av flera kolonier och populationens tillbakagång i norra delen av utbredningsområdet (SLU Artdatabanken, 2024; Ahlén, 2015).</w:t>
      </w:r>
    </w:p>
    <w:p>
      <w:r>
        <w:t>Eftersom det handlar om rörliga djur som snabbt förflyttar sig över stora områden, måste det inte alltid vara ett sammanhängande skyddat område utan huvudsaken är att man bevarar tillräcklig mängd viktiga miljöer i ett område på ca 15–20 km2. Bevarande av livsmiljöer är särskilt relevant i gammaldags utmarksskog eftersom det är en biotop som drastiskt minskat och hotas av skogsbruk. Om sådan skog kalavverkas och ersätts av ett plantageskogsbruk är förutsättningarna för förekomst av barbastell förstörda för lång tid framåt. Bevarandet av de miljöer som barbastellen är beroende av skogsbrukets och jordbrukets miljöhänsyn. Ett anpassat skogsbruk, med kontinuitetskogsbruk samt bevarande av brynmiljöer i skogs- och jordbrukslandskapet är viktiga åtgärder (SLU Artdatabanken, 2024; Ahlén, 2015).</w:t>
      </w:r>
    </w:p>
    <w:p>
      <w:r>
        <w:t>Under året utnyttjar fladdermössen många olika miljöer och ett effektivt bevarandearbete måste därför utgå från ett landskapsekologiskt perspektiv. 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En förändring från småskalig till mer storskalig fragmentering av skogsmark är negativt. Om insektsrika biotoper som fuktiga äldre skogar och betesmarker blir alltför glest förekommande så försvinner underlaget för att kunna bilda kolonier. Dränering av skogsmark, igenplantering av betesmarker, minskad lövrikedom, försämrad brynkvalitet är exempel på åtgärder som kan påverka habitatkvaliteten negativt. De viktigaste områdena för barbastellen bör säkras inom Natura 2000-nätverket enligt Habitatdirektivets bilaga 2 (SLU Artdatabanken, 2024; Ahlén, 2015).</w:t>
      </w:r>
    </w:p>
    <w:p>
      <w:pPr>
        <w:pStyle w:val="Heading2"/>
      </w:pPr>
      <w:r>
        <w:t>Referenser – barbastell</w:t>
      </w:r>
    </w:p>
    <w:p>
      <w:r>
        <w:t xml:space="preserve">Ahlén, I., 2015. </w:t>
      </w:r>
      <w:r>
        <w:rPr>
          <w:i/>
        </w:rPr>
        <w:t>Åtgärdsprogram för barbastell, 2015–2019 (Barbastella barbastellus)</w:t>
      </w:r>
      <w:r>
        <w:t>. Naturvårdsverket. Rapport: 6532.</w:t>
      </w:r>
    </w:p>
    <w:p>
      <w:r>
        <w:t xml:space="preserve">IUCN, 2016. </w:t>
      </w:r>
      <w:r>
        <w:rPr>
          <w:i/>
        </w:rPr>
        <w:t>Barbastella barbastellus</w:t>
      </w:r>
      <w:r>
        <w:t>. The IUCN Red List of Threatened Species.</w:t>
      </w:r>
    </w:p>
    <w:p>
      <w:r>
        <w:t xml:space="preserve">SLU Artdatabanken, 2024. </w:t>
      </w:r>
      <w:r>
        <w:rPr>
          <w:i/>
        </w:rPr>
        <w:t>Artfakta: barbastell (Barbastella barbastellus).</w:t>
      </w:r>
    </w:p>
    <w:p>
      <w:pPr>
        <w:pStyle w:val="Heading1"/>
      </w:pPr>
      <w:r>
        <w:t>Fransfladdermus – ekologi samt krav på livsmiljön</w:t>
      </w:r>
    </w:p>
    <w:p>
      <w:r>
        <w:t>Fransfladdermus (NT, §4a) omfattas av bilaga 4 EU:s art- och habitatdirektiv vilket innebär ett strikt skydd för arten och dess livsmiljöer. Arten är skogslevande och undviker att flyga i öppna områden. Den förekommer i barr- och lövskog, ofta nära vattendrag eller sumpskog. Den föredrar lite blötare lövrik skog, men påträffas även i trädgårdar och parker, ibland också i lövrika hagmarker (SLU Artdatabanken, 2024).</w:t>
      </w:r>
    </w:p>
    <w:p>
      <w:r>
        <w:t>Arten är känslig för fragmentering av skogsbiotoper och undviker att passera öppna områden. Avverkning av hålträd, dränering, minskad biotopvariation, till exempel igenplantering av ängs- och hagmark påverkar arten negativt. Gamla träd med grov bark, skador, håligheter eller döda delar bör lämnas och yngre träd (efterträdare) tillåtas finnas kvar och åldras för att säkra framtida förekomst av lämpliga yngelmiljöer. För fransfladdermus är det särskilt värdefullt att bevara eller skapa lövrika skogar vid vattendrag och sumpskogar med många ihåliga träd samt bevara äldre byggnader som gamla kvarnar och andra byggnader med valvgångar, kanaler och stenbroar mm (SLU Artdatabanken, 2024).</w:t>
      </w:r>
    </w:p>
    <w:p>
      <w:r>
        <w:t xml:space="preserve">Under året utnyttjar fladdermöss många olika miljöer och ett effektivt bevarandearbete måste därför utgå från ett landskapsekologiskt perspektiv. Ett varierat landskap med hög andel äldre lövträd, småvatten, sumpskogar, öppna våtmarker, ängar och betesmarker gynnar insektsproduktion vilket skapar förutsättningar för fladdermöss att hitta tillräckligt med föda. Fransfladdermus är typisk art för </w:t>
      </w:r>
      <w:r>
        <w:rPr>
          <w:i/>
        </w:rPr>
        <w:t>8310 Grottor</w:t>
      </w:r>
      <w:r>
        <w:t xml:space="preserve"> och </w:t>
      </w:r>
      <w:r>
        <w:rPr>
          <w:i/>
        </w:rPr>
        <w:t>8330 Havsgrottor</w:t>
      </w:r>
      <w:r>
        <w:t xml:space="preserve"> (SLU Artdatabanken, 2024).</w:t>
      </w:r>
    </w:p>
    <w:p>
      <w:pPr>
        <w:pStyle w:val="Heading2"/>
      </w:pPr>
      <w:r>
        <w:t>Referenser – fransfladdermus</w:t>
      </w:r>
    </w:p>
    <w:p>
      <w:r>
        <w:t>SLU Artdatabanken, 2024.</w:t>
      </w:r>
      <w:r>
        <w:rPr>
          <w:i/>
        </w:rPr>
        <w:t xml:space="preserve"> Artfakta: fransfladdermus (Myotis nattereri)</w:t>
      </w:r>
      <w:r>
        <w:t>.</w:t>
      </w:r>
      <w:r>
        <w:rPr>
          <w:i/>
        </w:rPr>
        <w:t xml:space="preserve"> </w:t>
      </w:r>
      <w:r>
        <w:t>https://artfakta.se/taxa/100087</w:t>
      </w:r>
    </w:p>
    <w:p>
      <w:pPr>
        <w:pStyle w:val="Heading1"/>
      </w:pPr>
      <w:r>
        <w:t>Nordfladdermus – ekologi samt krav på livsmiljön</w:t>
      </w:r>
    </w:p>
    <w:p>
      <w:r>
        <w:t>Nordfladdermus (NT, §4a) omfattas av bilaga 4 EU:s art- och habitatdirektiv vilket innebär ett strikt skydd för arten och dess livsmiljöer. Arten har minskat med 27,5 (5–50) % under de senaste 21 åren och minskningstakten för den svenska populationen bedöms vara nära gränsvärdet för Sårbar (VU). (A2bc) (SLU Artdatabanken, 2024).</w:t>
      </w:r>
    </w:p>
    <w:p>
      <w:r>
        <w:t>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nordfladdermus</w:t>
      </w:r>
    </w:p>
    <w:p>
      <w:r>
        <w:t xml:space="preserve">Skogsstyrelsen, 2016. </w:t>
      </w:r>
      <w:r>
        <w:rPr>
          <w:i/>
        </w:rPr>
        <w:t xml:space="preserve">Vägledning för hänsyn till nordfladdermus. </w:t>
      </w:r>
      <w:r>
        <w:t>Vägledningar och kunskapsstöd artskydd - Skogsstyrelsen</w:t>
      </w:r>
    </w:p>
    <w:p>
      <w:r>
        <w:t>SLU Artdatabanken, 2024.</w:t>
      </w:r>
      <w:r>
        <w:rPr>
          <w:i/>
        </w:rPr>
        <w:t xml:space="preserve">  Artfakta: nordfladdermus (Eptesicus nilssonii). </w:t>
      </w:r>
      <w:r>
        <w:t>https://artfakta.se/taxa/205998</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Dvärgpipistrell – ekologi samt krav på livsmiljön</w:t>
      </w:r>
    </w:p>
    <w:p>
      <w:r>
        <w:t>Dvärgpipistrell (§4a) omfattas av bilaga 4 EU:s art- och habitatdirektiv vilket innebär ett strikt skydd för arten och dess livsmiljöer.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dvärgpipistrell</w:t>
      </w:r>
    </w:p>
    <w:p>
      <w:r>
        <w:t xml:space="preserve">Skogsstyrelsen, 2016. </w:t>
      </w:r>
      <w:r>
        <w:rPr>
          <w:i/>
        </w:rPr>
        <w:t xml:space="preserve">Vägledning för hänsyn till pipistrell. </w:t>
      </w:r>
      <w:r>
        <w:t>Vägledningar och kunskapsstöd artskydd - Skogsstyrelsen</w:t>
      </w:r>
    </w:p>
    <w:p>
      <w:r>
        <w:t>SLU Artdatabanken, 2024.</w:t>
      </w:r>
      <w:r>
        <w:rPr>
          <w:i/>
        </w:rPr>
        <w:t xml:space="preserve">  Artfakta: dvärgpipistrell (Pipistrellus pygmaeus). </w:t>
      </w:r>
      <w:r>
        <w:t>https://artfakta.se/taxa/205995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