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50985-2021 i Nybro kommun</w:t>
      </w:r>
    </w:p>
    <w:p>
      <w:r>
        <w:t>Detta dokument behandlar höga naturvärden i avverkningsanmälan A 50985-2021 i Nybro kommun. Denna avverkningsanmälan inkom 2021-09-21 17:02:09 och omfattar 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björktrast (NT, §4), gulsparv (NT, §4), havsörn (NT, §4), kungsörn (NT, §4), spillkråka (NT, §4), talltita (NT, §4), gröngöling (§4), röd glada (§4), skogsduva (§4) och trädlärka (§4).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7161"/>
            <wp:docPr id="1" name="Picture 1"/>
            <wp:cNvGraphicFramePr>
              <a:graphicFrameLocks noChangeAspect="1"/>
            </wp:cNvGraphicFramePr>
            <a:graphic>
              <a:graphicData uri="http://schemas.openxmlformats.org/drawingml/2006/picture">
                <pic:pic>
                  <pic:nvPicPr>
                    <pic:cNvPr id="0" name="A 50985-2021 karta.png"/>
                    <pic:cNvPicPr/>
                  </pic:nvPicPr>
                  <pic:blipFill>
                    <a:blip r:embed="rId16"/>
                    <a:stretch>
                      <a:fillRect/>
                    </a:stretch>
                  </pic:blipFill>
                  <pic:spPr>
                    <a:xfrm>
                      <a:off x="0" y="0"/>
                      <a:ext cx="5486400" cy="59471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6300316, E 555076 i SWEREF 99 TM.</w:t>
      </w:r>
    </w:p>
    <w:p>
      <w:pPr>
        <w:pStyle w:val="Heading1"/>
      </w:pPr>
      <w:r>
        <w:t>Fridlysta arter</w:t>
      </w:r>
    </w:p>
    <w:p>
      <w:r>
        <w:t>Följande fridlysta arter har sina livsmiljöer och växtplatser i den avverkningsanmälda skogen: björktrast (NT, §4), gulsparv (NT, §4), havsörn (NT, §4), kungsörn (NT, §4), spillkråka (NT, §4), talltita (NT, §4), gröngöling (§4), röd glada (§4), skogsduva (§4) och trädlärka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r>
        <w:rPr>
          <w:b/>
        </w:rPr>
        <w:t>Kungsörn (NT, §4)</w:t>
      </w:r>
      <w:r>
        <w:t xml:space="preserve"> är rödlistad som nära hotad och upptagen i bilaga 1 EU:s fågeldirektiv. 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andra störande verksamheter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Kungsörn – ekologi samt krav på livsmiljön</w:t>
      </w:r>
    </w:p>
    <w:p>
      <w:r>
        <w:t>Kungsörn är rödlistad som nära hotad (NT) och fridlyst enligt 4§ Artskyddsförordningen samt upptagen i bilaga 1 EU:s fågeldirektiv. Kungsörnen häckar i skogs- och fjällområden där den bygger stora risbon i grova träd eller på klipphyllor. Risboet är ca 1,5 m i diameter och i extremfall upp till 5 m högt, vanligtvis beläget i en kraftig tall eller i ett klippstup, ofta med utsikt över terrängen. Varje par har ofta flera alternativa boplatser inom sitt revir och dessa kan ligga åtskilliga kilometer från varandra (upp till 6,5 km konstaterat i Norge). Bon i träd placeras oftast på 2/3 höjd, mera sällan i eller nära toppen (SLU Artdatabanken, 2024).</w:t>
      </w:r>
    </w:p>
    <w:p>
      <w:r>
        <w:t>I marker med medelgod bytestillgång är avståndet mellan etablerade par under naturliga förhållanden i genomsnitt cirka 10 km. I områden med gott om byten, som t.ex. i Skåne och Gotland men lokalt även i Norrland, kan avstånden vara betydligt kortare. Till exempel på Gotland har samtidiga häckningar skett i bon belägna endast lite drygt tre kilometer från varandra. I fattiga norrlandsskogar är medelavståndet mellan paren drygt 15 km. (SLU Artdatabanken, 2024).</w:t>
      </w:r>
    </w:p>
    <w:p>
      <w:r>
        <w:t>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annan störande berksamhet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Kungsörnen har på lång sikt en något osäker framtid på grund av den genomhuggning och kalavverkning av äldre, urskogsartade bestånd som fortfarande sker långt upp mot fjällområdena. Därvid kan brist på lämpliga boträd uppstå, likaså försämrad bytestillgång. Boträden, tallar i minst 95 % av fallen, bör vara kraftiga och i Norrland helst minst 200 år gamla. Medelåldern på 97 friska träd var 311 år vid en studie i Norrland 1975–1980. På Gotland har medelåldern på boträden konstaterats vara 145 år. Den gammelskog som i dagens läge finns kvar i Norrland hittas framför allt i svåravverkade, branta sluttningar i anslutning till berg, på blockrika berg, i eller i anslutning till raviner och sprickdalar eller på myrholmar. Eftersom ungefär halva den svenska kungsörnsstammen är beroende av lämpliga boträd skulle en mer omfattande avverkning i ovan nämnda terrängtyper troligen vara starkt negativ för artens fortbestånd. (SLU Artdatabanken, 2024).</w:t>
      </w:r>
    </w:p>
    <w:p>
      <w:pPr>
        <w:pStyle w:val="Heading2"/>
      </w:pPr>
      <w:r>
        <w:t>Referenser – kungsörn</w:t>
      </w:r>
    </w:p>
    <w:p>
      <w:r>
        <w:t xml:space="preserve">Skogsstyrelsen, 2016. </w:t>
      </w:r>
      <w:r>
        <w:rPr>
          <w:i/>
        </w:rPr>
        <w:t xml:space="preserve">Vägledning för hänsyn till kungsörn. </w:t>
      </w:r>
      <w:r>
        <w:t>Vägledningar och kunskapsstöd artskydd – 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