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18399-2026 i Nybro kommun</w:t>
      </w:r>
    </w:p>
    <w:p>
      <w:r>
        <w:t>Detta klagomål behandlar höga naturvärden i avverkningsanmälan A 18399-2026 i Nybro kommun som inkom 2026-04-14 och omfattar 12,2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A 18399-2026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6301612, E 543517 i SWEREF 99 TM.</w:t>
      </w:r>
    </w:p>
    <w:p>
      <w:r>
        <w:t>I och inom 3 meter från avverkningsanmälan finns fynd av 3 naturvårdsarter, varav 1 är rödlistad, 1 är fridlyst, 2 är typiska (T) och 1 är signalart (S): aspstumpbagge (NT), stekelbock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Aspstumpbagge (NT) </w:t>
      </w:r>
      <w:r>
        <w:t>är en rovlevande skalbagge som lever under fuktig bark, främst på relativt nyligen döda aspar med angrepp av långhorningar, men även på björk och ek, tillfälligtvis även på andra slags lövträd. Arten påverkas negativ av brist på död ved och en minskning av populationen pågår eller förväntas ske. Minskningen avser kvalitén på artens habitat och antalet lokalområden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