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61617-2025 i Nybro kommun</w:t>
      </w:r>
    </w:p>
    <w:p>
      <w:r>
        <w:t>Detta klagomål behandlar höga naturvärden i avverkningsanmälan A 61617-2025 i Nybro kommun som inkom 2025-12-11 och omfattar 2,8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61617-2025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6306349, E 566827 i SWEREF 99 TM.</w:t>
      </w:r>
    </w:p>
    <w:p>
      <w:r>
        <w:t>I avverkningsanmälan finns fynd av 1 naturvårdsarter, varav 1 är rödlistad: orangefläckig brunbagge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Orangefläckig brunbagge (NT)</w:t>
      </w:r>
      <w:r>
        <w:t xml:space="preserve"> är en vedlevande skalbagge som finns i östra Småland. Den lever i grövre vitrötad och torr lövträdsved i naturskogar med stort lövinslag. Sannolikt är den starkt gynnad av frekventa skogsbränder och översvämning invid åar och runt våtmarker som håller skogarna öppna och skapar grövre solexponerad lövträdsved. Ett återinförande av en naturlig störningsregim med bränder och översvämningar rekommenderas i områden avsatta för artbevarande. Arten, som omfattas av ett åtgärdsprogram för hotade arter (ÅGP), hotas av den minskade mängden lövträd i skogsmark (SLU Artdatabanken, 2026; Nilsson,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