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18396-2026 i Nybro kommun</w:t>
      </w:r>
    </w:p>
    <w:p>
      <w:r>
        <w:t>Detta klagomål behandlar höga naturvärden i avverkningsanmälan A 18396-2026 i Nybro kommun som inkom 2026-04-14 och omfattar 33,3 ha.</w:t>
      </w:r>
    </w:p>
    <w:p>
      <w:pPr>
        <w:pStyle w:val="Caption"/>
      </w:pPr>
      <w:r>
        <w:drawing>
          <wp:inline xmlns:a="http://schemas.openxmlformats.org/drawingml/2006/main" xmlns:pic="http://schemas.openxmlformats.org/drawingml/2006/picture">
            <wp:extent cx="5362795" cy="5724000"/>
            <wp:docPr id="1" name="Picture 1"/>
            <wp:cNvGraphicFramePr>
              <a:graphicFrameLocks noChangeAspect="1"/>
            </wp:cNvGraphicFramePr>
            <a:graphic>
              <a:graphicData uri="http://schemas.openxmlformats.org/drawingml/2006/picture">
                <pic:pic>
                  <pic:nvPicPr>
                    <pic:cNvPr id="0" name="A 18396-2026 karta.png"/>
                    <pic:cNvPicPr/>
                  </pic:nvPicPr>
                  <pic:blipFill>
                    <a:blip r:embed="rId16"/>
                    <a:stretch>
                      <a:fillRect/>
                    </a:stretch>
                  </pic:blipFill>
                  <pic:spPr>
                    <a:xfrm>
                      <a:off x="0" y="0"/>
                      <a:ext cx="536279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6301644, E 544612 i SWEREF 99 TM.</w:t>
      </w:r>
    </w:p>
    <w:p>
      <w:r>
        <w:t>I och inom 8 meter från avverkningsanmälan finns fynd av 3 naturvårdsarter, varav 1 är rödlistad, 1 är fridlyst, 1 är typisk (T) och 1 är signalart (S): svart ögonknäppare (NT), stekelbock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ögonknäppare (NT)</w:t>
      </w:r>
      <w:r>
        <w:t xml:space="preserve"> är en skalbagge vars larvutveckling företrädesvis sker i ytlig vitrötad ved av björk, helst stående, solexponerade träd med tjock bark. Den är starkt attraherad till brandfält. På nybrända björkar utvecklas larverna helt i skiktet mellan bark och ved, även under ganska tunn bark. Arten hotas av att mängden grova björkar minskat genom flera decenniers aktiv lövbekämpning i det boreala skogslandskapet, samt av uteblivna bränder (SLU Artdatabanken, 2024).</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