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988-2022 i Nybro kommun</w:t>
      </w:r>
    </w:p>
    <w:p>
      <w:r>
        <w:t>Denna tillsynsbegäran behandlar höga naturvärden i samrådsanmälan S 988-2022 i Nybro kommun som inkom 2022-02-15 och omfattar 488,6 ha.</w:t>
      </w:r>
    </w:p>
    <w:p>
      <w:pPr>
        <w:pStyle w:val="Caption"/>
      </w:pPr>
      <w:r>
        <w:drawing>
          <wp:inline xmlns:a="http://schemas.openxmlformats.org/drawingml/2006/main" xmlns:pic="http://schemas.openxmlformats.org/drawingml/2006/picture">
            <wp:extent cx="5486400" cy="5397371"/>
            <wp:docPr id="1" name="Picture 1"/>
            <wp:cNvGraphicFramePr>
              <a:graphicFrameLocks noChangeAspect="1"/>
            </wp:cNvGraphicFramePr>
            <a:graphic>
              <a:graphicData uri="http://schemas.openxmlformats.org/drawingml/2006/picture">
                <pic:pic>
                  <pic:nvPicPr>
                    <pic:cNvPr id="0" name="S 988-2022 karta.png"/>
                    <pic:cNvPicPr/>
                  </pic:nvPicPr>
                  <pic:blipFill>
                    <a:blip r:embed="rId16"/>
                    <a:stretch>
                      <a:fillRect/>
                    </a:stretch>
                  </pic:blipFill>
                  <pic:spPr>
                    <a:xfrm>
                      <a:off x="0" y="0"/>
                      <a:ext cx="5486400" cy="5397371"/>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6305731, E 534660 i SWEREF 99 TM.</w:t>
      </w:r>
    </w:p>
    <w:p>
      <w:r>
        <w:t>I och inom 15 meter från samrådsanmälan finns fynd av 2 naturvårdsarter, varav 2 är rödlistade: Cryptophagus cylindrellus (NT) och kolsvart trädbasbagge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Kolsvart trädbasbagge (NT) </w:t>
      </w:r>
      <w:r>
        <w:t>är en skalbagge vars larvutveckling sker under torr, svampangripen bark på brända stammar av lövträd och barrträd, i Sverige främst branddödad björk med skiktdyna (</w:t>
      </w:r>
      <w:r>
        <w:rPr>
          <w:i/>
        </w:rPr>
        <w:t>Daldinia concentrica)</w:t>
      </w:r>
      <w:r>
        <w:t>, men även på gran, al och ek. Arten påverkas negativt av brist på brandsuccessioner i skog</w:t>
      </w:r>
      <w:r>
        <w:rPr>
          <w:b/>
        </w:rPr>
        <w:t xml:space="preserve"> </w:t>
      </w:r>
      <w:r>
        <w:t>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