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60746-2025 i Nybro kommun</w:t>
      </w:r>
    </w:p>
    <w:p>
      <w:r>
        <w:t>Detta klagomål behandlar höga naturvärden i avverkningsanmälan A 60746-2025 i Nybro kommun som inkom 2025-12-08 och omfattar 5,5 ha.</w:t>
      </w:r>
    </w:p>
    <w:p>
      <w:pPr>
        <w:pStyle w:val="Caption"/>
      </w:pPr>
      <w:r>
        <w:drawing>
          <wp:inline xmlns:a="http://schemas.openxmlformats.org/drawingml/2006/main" xmlns:pic="http://schemas.openxmlformats.org/drawingml/2006/picture">
            <wp:extent cx="5486400" cy="5695834"/>
            <wp:docPr id="1" name="Picture 1"/>
            <wp:cNvGraphicFramePr>
              <a:graphicFrameLocks noChangeAspect="1"/>
            </wp:cNvGraphicFramePr>
            <a:graphic>
              <a:graphicData uri="http://schemas.openxmlformats.org/drawingml/2006/picture">
                <pic:pic>
                  <pic:nvPicPr>
                    <pic:cNvPr id="0" name="A 60746-2025 karta.png"/>
                    <pic:cNvPicPr/>
                  </pic:nvPicPr>
                  <pic:blipFill>
                    <a:blip r:embed="rId16"/>
                    <a:stretch>
                      <a:fillRect/>
                    </a:stretch>
                  </pic:blipFill>
                  <pic:spPr>
                    <a:xfrm>
                      <a:off x="0" y="0"/>
                      <a:ext cx="5486400" cy="569583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6307794, E 568128 i SWEREF 99 TM.</w:t>
      </w:r>
    </w:p>
    <w:p>
      <w:r>
        <w:t>I och inom 14 meter från avverkningsanmälan finns fynd av 4 naturvårdsarter, varav 3 är rödlistade, 1 är typisk (T) och 1 är signalart (S): tallgångbagge (VU), hårig blombock (NT), mindre träfjäril (NT) och stekelbock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Tallgångbagge (VU) </w:t>
      </w:r>
      <w:r>
        <w:t>är en skalbagge vars larvutveckling sker i anslutning till barkborreangrepp och trädsvampar under nyligen död barrträdsbark. Främst under barken på stående tallar, och oftast i urskogsartade bestånd. De fullbildade skalbaggarna övervintrar under barken och kan sållas fram från hösten till försommaren. Arten tycks ställa stora krav på sin miljö och kräver tydligen urskogsartade bestånd med en god och kontinuerlig tillgång till nyligen döda tallar. Spara områden med gammal, överårig tallskog som nyckelbiotoper eller naturreservat. Gallra ej bort nyligen döda tallar ur naturskogsbestånd. Tallgångbagge ingår i ett åtgärdsprogram för hotade arter (ÅGP) (SLU Artdatabanken, 2024; Pettersson, 2014).</w:t>
      </w:r>
    </w:p>
    <w:p>
      <w:r>
        <w:rPr>
          <w:b/>
        </w:rPr>
        <w:t xml:space="preserve">Hårig blombock (NT) </w:t>
      </w:r>
      <w:r>
        <w:t>är en skalbagge vars larvutveckling sker i barklös, torr död ved i grövre grenar, stammar och lågor av tall. Arten är knuten till glesa tallskogar, främst på sand- och hällmarker, och kan mer tillfälligt uppträda på hyggen och brandfält. Arten hotas främst av en brist på lämplig ved i glesa tallskogar vilket till stor del beror på allt tätare produktionsskogar samt avsaknad av skogsbränder. Den viktigaste åtgärden är att bibehålla eller skapa glesa tallskogsmiljöer med gott om grov tallved. Inom brukad skog är det viktigt att lämna mer grov tallved, exempelvis i form av högstubbar, torrträd och lågor. Naturvårdsbränningar på främst hedar och hällmarker är gynnsamt. Hårig blombock ingår i ett åtgärdsprogram för hotade arter (ÅGP) (SLU Artdatabanken, 2024; Wikars, 2014).</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