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41226-2025 i Nybro kommun</w:t>
      </w:r>
    </w:p>
    <w:p>
      <w:r>
        <w:t>Detta dokument behandlar höga naturvärden i avverkningsanmälan A 41226-2025 i Nybro kommun. Denna avverkningsanmälan inkom 2025-08-29 14:08:15 och omfattar 20,5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barbastell (NT, §4a), brunlångöra (NT, §4a), dammfladdermus (NT, §4a), duvhök (NT, §4), grönsångare (NT, §4), mindre hackspett (NT, §4), nordfladdermus (NT, §4a), spillkråka (NT, §4), talltita (NT, §4), blomkålssvamp (S), blåmossa (S), dvärgpipistrell (§4a), grönsiska (§4), kungsfågel (§4), större brunfladdermus (§4a), tjäder (§4) och trollpipistrell (§4a).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7041"/>
            <wp:docPr id="1" name="Picture 1"/>
            <wp:cNvGraphicFramePr>
              <a:graphicFrameLocks noChangeAspect="1"/>
            </wp:cNvGraphicFramePr>
            <a:graphic>
              <a:graphicData uri="http://schemas.openxmlformats.org/drawingml/2006/picture">
                <pic:pic>
                  <pic:nvPicPr>
                    <pic:cNvPr id="0" name="A 41226-2025 karta.png"/>
                    <pic:cNvPicPr/>
                  </pic:nvPicPr>
                  <pic:blipFill>
                    <a:blip r:embed="rId16"/>
                    <a:stretch>
                      <a:fillRect/>
                    </a:stretch>
                  </pic:blipFill>
                  <pic:spPr>
                    <a:xfrm>
                      <a:off x="0" y="0"/>
                      <a:ext cx="5486400" cy="479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6322513, E 547511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barbastell (NT, §4a), brunlångöra (NT, §4a), dammfladdermus (NT, §4a), duvhök (NT, §4), grönsångare (NT, §4), mindre hackspett (NT, §4), nordfladdermus (NT, §4a), spillkråka (NT, §4), talltita (NT, §4), dvärgpipistrell (§4a), grönsiska (§4), kungsfågel (§4), större brunfladdermus (§4a), tjäder (§4) och trollpipistrell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Dammfladdermus (NT, §4a)</w:t>
      </w:r>
      <w:r>
        <w:t xml:space="preserve">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För dammfladdermusen är det särskilt viktigt att värna om strandnära områden, genom att bevara eller skapa sumpskog och hålträd (SLU Artdatabanken, 2024; IUCN, 2016).</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Dammfladdermus – ekologi samt krav på livsmiljön</w:t>
      </w:r>
    </w:p>
    <w:p>
      <w:r>
        <w:t>Dammfladdermus (NT, §4a)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(SLU Artdatabanken, 2024; IUCN, 2016).</w:t>
      </w:r>
    </w:p>
    <w:p>
      <w:r>
        <w:t>Dammfladdermusen förekommer mest vid vatten, vid både sjöar och vattendrag. Den födosöker antingen tätt ovanför vattenytan eller i strandskog. Dammfladdermusen väljer lite större vatten än vattenfladdermusen, till exempel sjöar och breda åar. Den undviker stora sammanhängande öppna miljöer såsom åkrar och hyggen. Eftersom dammfladdermusen i huvudsak jagar över sjöar och vattendrag så är det framförallt vattenkvalité och utformningen av strandnära miljöer som påverkar artens förekomst. För dammfladdermusen är det särskilt viktigt att värna om strandnära områden, genom att bevara eller skapa sumpskog och hålträd (SLU Artdatabanken, 2024).</w:t>
      </w:r>
    </w:p>
    <w:p>
      <w:pPr>
        <w:pStyle w:val="Heading2"/>
      </w:pPr>
      <w:r>
        <w:t>Referenser – dammfladdermus</w:t>
      </w:r>
    </w:p>
    <w:p>
      <w:r>
        <w:t xml:space="preserve">IUCN, 2016. </w:t>
      </w:r>
      <w:r>
        <w:rPr>
          <w:i/>
        </w:rPr>
        <w:t>Myotis dasycneme</w:t>
      </w:r>
      <w:r>
        <w:t>. The IUCN Red List of Threatened Species.</w:t>
      </w:r>
    </w:p>
    <w:p>
      <w:r>
        <w:t>SLU Artdatabanken, 2024.</w:t>
      </w:r>
      <w:r>
        <w:rPr>
          <w:i/>
        </w:rPr>
        <w:t xml:space="preserve"> Artfakta: dammfladdermus (Myotis dasycneme)</w:t>
      </w:r>
      <w:r>
        <w:t>. https://artfakta.se/taxa/100086</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