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1343-2022 i Nybro kommun</w:t>
      </w:r>
    </w:p>
    <w:p>
      <w:r>
        <w:t>Detta klagomål behandlar höga naturvärden i samrådsanmälan S 1343-2022 i Nybro kommun som inkom 2022-03-08 och omfattar 2,3 ha.</w:t>
      </w:r>
    </w:p>
    <w:p>
      <w:pPr>
        <w:pStyle w:val="Caption"/>
      </w:pPr>
      <w:r>
        <w:drawing>
          <wp:inline xmlns:a="http://schemas.openxmlformats.org/drawingml/2006/main" xmlns:pic="http://schemas.openxmlformats.org/drawingml/2006/picture">
            <wp:extent cx="5486400" cy="5120639"/>
            <wp:docPr id="1" name="Picture 1"/>
            <wp:cNvGraphicFramePr>
              <a:graphicFrameLocks noChangeAspect="1"/>
            </wp:cNvGraphicFramePr>
            <a:graphic>
              <a:graphicData uri="http://schemas.openxmlformats.org/drawingml/2006/picture">
                <pic:pic>
                  <pic:nvPicPr>
                    <pic:cNvPr id="0" name="S 1343-2022 karta.png"/>
                    <pic:cNvPicPr/>
                  </pic:nvPicPr>
                  <pic:blipFill>
                    <a:blip r:embed="rId16"/>
                    <a:stretch>
                      <a:fillRect/>
                    </a:stretch>
                  </pic:blipFill>
                  <pic:spPr>
                    <a:xfrm>
                      <a:off x="0" y="0"/>
                      <a:ext cx="5486400" cy="5120639"/>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6300783, E 545569 i SWEREF 99 TM.</w:t>
      </w:r>
    </w:p>
    <w:p>
      <w:r>
        <w:t>I och inom 11 meter från samrådsanmälan finns fynd av 4 naturvårdsarter, varav 2 är rödlistade, 2 är typiska (T) och 2 är signalarter (S): gråbrun ängsfingersvamp (NT), skruvbusksvamp (NT), hasselticka (S, T) och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Gråbrun ängsfingersvamp (NT) </w:t>
      </w:r>
      <w:r>
        <w:t>växer i naturliga gräsmarker, främst kalkrika, i såväl slåtter- som naturbetesmark. Den förekommer även i mer eller mindre sluten ädellövskog på kalkhaltig mulljord, då ofta på ytor med naken jord och uttunnat fältskikt. Skogsmiljöer av den typ arten trivs i har ofta ett stort skyddsvärde och eventuellt skogsbruk på dessa platser bör bedrivas skonsamt (SLU Artdatabanken, 2024).</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