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som inkom 2026-05-11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barbastell (NT, §4a), brunlångöra (NT, §4a), dammfladdermus (NT, §4a), duvhök (NT, §4), mindre hackspett (NT, T, §4), nordfladdermus (NT, §4a), talltita (NT, §4), blomkålssvamp (S), spillkråka (T, §4), tjäder (T, §4), dvärgpipistrell (§4a), större brunfladdermus (§4a), sångsvan (§4) och trana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6322513, E 547545 i SWEREF 99 TM.</w:t>
      </w:r>
    </w:p>
    <w:p>
      <w:pPr>
        <w:pStyle w:val="Heading2"/>
      </w:pPr>
      <w:r>
        <w:t>Fridlysta arter</w:t>
      </w:r>
    </w:p>
    <w:p>
      <w:r>
        <w:t>Följande fridlysta arter har sina livsmiljöer och växtplatser i den avverkningsanmälda skogen: barbastell (NT, §4a), brunlångöra (NT, §4a), dammfladdermus (NT, §4a), duvhök (NT, §4), mindre hackspett (NT, T, §4), nordfladdermus (NT, §4a), talltita (NT, §4), spillkråka (T, §4), tjäder (T, §4), dvärgpipistrell (§4a), större brunfladdermus (§4a),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