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14858-2022 i Nybro kommun</w:t>
      </w:r>
    </w:p>
    <w:p>
      <w:r>
        <w:t>Denna tillsynsbegäran behandlar höga naturvärden i avverkningsanmälan A 14858-2022 i Nybro kommun som inkom 2022-04-05 och omfattar 4,9 ha.</w:t>
      </w:r>
    </w:p>
    <w:p>
      <w:pPr>
        <w:pStyle w:val="Caption"/>
      </w:pPr>
      <w:r>
        <w:drawing>
          <wp:inline xmlns:a="http://schemas.openxmlformats.org/drawingml/2006/main" xmlns:pic="http://schemas.openxmlformats.org/drawingml/2006/picture">
            <wp:extent cx="5486400" cy="4855664"/>
            <wp:docPr id="1" name="Picture 1"/>
            <wp:cNvGraphicFramePr>
              <a:graphicFrameLocks noChangeAspect="1"/>
            </wp:cNvGraphicFramePr>
            <a:graphic>
              <a:graphicData uri="http://schemas.openxmlformats.org/drawingml/2006/picture">
                <pic:pic>
                  <pic:nvPicPr>
                    <pic:cNvPr id="0" name="A 14858-2022 karta.png"/>
                    <pic:cNvPicPr/>
                  </pic:nvPicPr>
                  <pic:blipFill>
                    <a:blip r:embed="rId16"/>
                    <a:stretch>
                      <a:fillRect/>
                    </a:stretch>
                  </pic:blipFill>
                  <pic:spPr>
                    <a:xfrm>
                      <a:off x="0" y="0"/>
                      <a:ext cx="5486400" cy="4855664"/>
                    </a:xfrm>
                    <a:prstGeom prst="rect"/>
                  </pic:spPr>
                </pic:pic>
              </a:graphicData>
            </a:graphic>
          </wp:inline>
        </w:drawing>
      </w:r>
    </w:p>
    <w:p>
      <w:pPr>
        <w:pStyle w:val="Caption"/>
        <w:spacing w:after="240"/>
      </w:pPr>
      <w:r>
        <w:t>Figur 1. Fyndplatser för naturvårdsarter i och inom 8 meter från avverkningsanmälan. Markörer utan svart kant är placerade på fyndplatsen. Markörer med svart kant är placerade vid sidan av fyndplatsen och har ett svart streck som visar fyndplatsens exakta position. Kartans mittpunktskoordinat är N 6304472, E 553747 i SWEREF 99 TM.</w:t>
      </w:r>
    </w:p>
    <w:p>
      <w:r>
        <w:t>I och inom 8 meter från avverkningsanmälan finns fynd av 3 naturvårdsarter, varav 3 är rödlistade och 1 är fridlyst: apelticka (VU), rosenryggat ordensfly (VU) och sparvuggla (NT, §4).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 xml:space="preserve">Apelticka (VU) </w:t>
      </w:r>
      <w:r>
        <w:t>är en nedbrytare i gamla, levande, skadade, ibland döda, stammar av asp, ask, apel i hagmark, parker, alléer, trädgårdar samt i löv- och blandskog. Arten hotas av avverkning av värdträd och passande värdträd på svampens växtplatser. Även minskad tillgång på asp i skogslandskapet missgynnar arten. I kulturlandskapet måste särskilt gamla aplar och askar bevaras. I skogsmiljö måste fler bestånd med grov asp få möjlighet att fortleva. Vid skötsel av parker och alléer bör träd med den vedrötande apeltickan sparas så länge det är möjligt (SLU Artdatabanken, 2025).</w:t>
      </w:r>
    </w:p>
    <w:p>
      <w:r>
        <w:rPr>
          <w:b/>
        </w:rPr>
        <w:t>Sparvuggla (NT, §4)</w:t>
      </w:r>
      <w:r>
        <w:t xml:space="preserve"> är fridlyst enligt 4§ artskyddsförordningen och omfattas av bilaga 1 EU:s fågeldirektiv. Den har minskat med 15 (5–25) % under de senaste 15 åren och minskningstakten för den svenska populationen bedöms vara nära gränsvärdet för Sårbar (VU).  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Särskilt avverkning av lövträdsrika kantzoner och igenplantering av gamla inägor (SLU Artdatabanken, 2026; Skogsstyrelsen, 2016).</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Sparvuggla – ekologi samt krav på livsmiljön</w:t>
      </w:r>
    </w:p>
    <w:p>
      <w:r>
        <w:t>Sparvuggla (NT, §4) är fridlyst enligt 4§ artskyddsförordningen och omfattas av bilaga 1 EU:s fågeldirektiv. Den har minskat med 15 (5–25) % under de senaste 15 åren och minskningstakten för den svenska populationen bedöms vara nära gränsvärdet för Sårbar (VU) (SLU Artdatabanken 2026).</w:t>
      </w:r>
    </w:p>
    <w:p>
      <w:r>
        <w:t>Sparvugglan häckar i naturskog samt i klassisk bondeskog och förekommer främst i större skogsområden som domineras av barrblandskog med stort inslag av asp, björk och andra lövträd. Den behöver relativt stora skogsområden och saknas helt i mindre skogar och isolerade dungar. Reviren är i storleksordningen upp till 200 hektar. Sparvugglan missgynnas av överföring av variationsrika bondeskogar till ensartade produktionsskogar – särskilt avverkning av lövträdsrika kantzoner och igenplantering av gamla inägor (Skogsstyrelsen, 2016).</w:t>
      </w:r>
    </w:p>
    <w:p>
      <w:pPr>
        <w:pStyle w:val="Heading2"/>
      </w:pPr>
      <w:r>
        <w:t>Referenser – sparvuggla</w:t>
      </w:r>
    </w:p>
    <w:p>
      <w:r>
        <w:t xml:space="preserve">Skogsstyrelsen, 2016. </w:t>
      </w:r>
      <w:r>
        <w:rPr>
          <w:i/>
        </w:rPr>
        <w:t>Vägledning för hänsyn till sparvuggla.</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