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16715-2025 i Nybro kommun</w:t>
      </w:r>
    </w:p>
    <w:p>
      <w:r>
        <w:t>Detta klagomål behandlar höga naturvärden i avverkningsanmälan A 16715-2025 i Nybro kommun som inkom 2025-04-07 och omfattar 1,5 ha.</w:t>
      </w:r>
    </w:p>
    <w:p>
      <w:pPr>
        <w:pStyle w:val="Caption"/>
      </w:pPr>
      <w:r>
        <w:drawing>
          <wp:inline xmlns:a="http://schemas.openxmlformats.org/drawingml/2006/main" xmlns:pic="http://schemas.openxmlformats.org/drawingml/2006/picture">
            <wp:extent cx="5486400" cy="5058423"/>
            <wp:docPr id="1" name="Picture 1"/>
            <wp:cNvGraphicFramePr>
              <a:graphicFrameLocks noChangeAspect="1"/>
            </wp:cNvGraphicFramePr>
            <a:graphic>
              <a:graphicData uri="http://schemas.openxmlformats.org/drawingml/2006/picture">
                <pic:pic>
                  <pic:nvPicPr>
                    <pic:cNvPr id="0" name="A 16715-2025 karta.png"/>
                    <pic:cNvPicPr/>
                  </pic:nvPicPr>
                  <pic:blipFill>
                    <a:blip r:embed="rId16"/>
                    <a:stretch>
                      <a:fillRect/>
                    </a:stretch>
                  </pic:blipFill>
                  <pic:spPr>
                    <a:xfrm>
                      <a:off x="0" y="0"/>
                      <a:ext cx="5486400" cy="505842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6310238, E 573950 i SWEREF 99 TM.</w:t>
      </w:r>
    </w:p>
    <w:p>
      <w:r>
        <w:t>I avverkningsanmälan finns fynd av 1 naturvårdsarter, varav 1 är fridlyst: större brunfladdermus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Större brunfladdermus (§4a)</w:t>
      </w:r>
      <w:r>
        <w:t xml:space="preserve"> omfattas av bilaga 4 EU:s art- och habitatdirektiv vilket innebär ett strikt skydd där arten och dess livsmiljöer ska bevaras. Den lever huvudsakligen i större skogsområden med gamla lövträdsbestånd, där den jagar i alla typer av öppna och halvöppna miljöer, ofta över stora sjöar och vattendrag, strandängar, betes- och slåttermarker. 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Gamla träd med grov bark, skador, håligheter eller döda delar bör lämnas och yngre träd (efterträdare) tillåtas finnas kvar och åldras för att säkra framtida förekomst av lämpliga yngelmiljöer. Övervintringsplatser måste skyddas effektivt från störningar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2026-09-17</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