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9561-2023 i Nybro kommun</w:t>
      </w:r>
    </w:p>
    <w:p>
      <w:r>
        <w:t>Detta dokument behandlar höga naturvärden i avverkningsanmälan A 9561-2023 i Nybro kommun. Denna avverkningsanmälan inkom 2023-02-25 och omfattar 0,7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3 naturvårdsarter hittats: nordfladdermus (NT, §4a), dvärgpipistrell (§4a) och sångsvan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07692"/>
            <wp:docPr id="1" name="Picture 1"/>
            <wp:cNvGraphicFramePr>
              <a:graphicFrameLocks noChangeAspect="1"/>
            </wp:cNvGraphicFramePr>
            <a:graphic>
              <a:graphicData uri="http://schemas.openxmlformats.org/drawingml/2006/picture">
                <pic:pic>
                  <pic:nvPicPr>
                    <pic:cNvPr id="0" name="A 9561-2023 karta.png"/>
                    <pic:cNvPicPr/>
                  </pic:nvPicPr>
                  <pic:blipFill>
                    <a:blip r:embed="rId16"/>
                    <a:stretch>
                      <a:fillRect/>
                    </a:stretch>
                  </pic:blipFill>
                  <pic:spPr>
                    <a:xfrm>
                      <a:off x="0" y="0"/>
                      <a:ext cx="5486400" cy="450769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6321908, E 548155 i SWEREF 99 TM.</w:t>
      </w:r>
    </w:p>
    <w:p>
      <w:pPr>
        <w:pStyle w:val="Heading1"/>
      </w:pPr>
      <w:r>
        <w:t>Fridlysta arter</w:t>
      </w:r>
    </w:p>
    <w:p>
      <w:r>
        <w:t>Följande fridlysta arter har sina livsmiljöer och växtplatser i den avverkningsanmälda skogen: nordfladdermus (NT, §4a), dvärgpipistrell (§4a) och sångsvan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Dvärgpipistrell (§4a)</w:t>
      </w:r>
      <w:r>
        <w:t xml:space="preserve"> omfattas av bilaga 4 EU:s art- och habitatdirektiv vilket innebär ett strikt skydd där arten och dess livsmiljöer ska bevaras.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t>I BILAGA 1 finns mer detaljerad information om ekologi samt krav på livsmiljö hos fridlysta arter.</w:t>
      </w:r>
    </w:p>
    <w:p>
      <w:r>
        <w:br w:type="page"/>
      </w:r>
    </w:p>
    <w:p>
      <w:pPr>
        <w:pStyle w:val="Title"/>
      </w:pPr>
      <w:r>
        <w:t>BILAGA 1 – Fridlysta arter</w:t>
      </w:r>
    </w:p>
    <w:p>
      <w:pPr>
        <w:pStyle w:val="Heading1"/>
      </w:pPr>
      <w:r>
        <w:t>Dvärgpipistrell – ekologi samt krav på livsmiljön</w:t>
      </w:r>
    </w:p>
    <w:p>
      <w:r>
        <w:t>Dvärgpipistrell (§4a) omfattas av bilaga 4 EU:s art- och habitatdirektiv vilket innebär ett strikt skydd för arten och dess livsmiljöer. Arten förekommer i alla typer av glesare skogar men föredrar framförallt lövskog. Den födosöker inne bland träden och man hittar den i trädbärande beteshagar, i kantzoner mellan skog och odlingsmark, i närheten av vatten och i bymiljöer. Den undviker stora sammanhängande öppna miljöer såsom åkrar och hyggen.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dvärgpipistrell</w:t>
      </w:r>
    </w:p>
    <w:p>
      <w:r>
        <w:t xml:space="preserve">Skogsstyrelsen, 2016. </w:t>
      </w:r>
      <w:r>
        <w:rPr>
          <w:i/>
        </w:rPr>
        <w:t xml:space="preserve">Vägledning för hänsyn till pipistrell. </w:t>
      </w:r>
      <w:r>
        <w:t>Vägledningar och kunskapsstöd artskydd - Skogsstyrelsen</w:t>
      </w:r>
    </w:p>
    <w:p>
      <w:r>
        <w:t>SLU Artdatabanken, 2024.</w:t>
      </w:r>
      <w:r>
        <w:rPr>
          <w:i/>
        </w:rPr>
        <w:t xml:space="preserve">  Artfakta: dvärgpipistrell (Pipistrellus pygmaeus). </w:t>
      </w:r>
      <w:r>
        <w:t>https://artfakta.se/taxa/205995</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