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10995-2026 i Oskarshamns kommun</w:t>
      </w:r>
    </w:p>
    <w:p>
      <w:r>
        <w:t>Detta klagomål behandlar höga naturvärden i avverkningsanmälan A 10995-2026 i Oskarshamns kommun som inkom 2026-02-26 och omfattar 2,3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10995-2026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6352575, E 571624 i SWEREF 99 TM.</w:t>
      </w:r>
    </w:p>
    <w:p>
      <w:r>
        <w:t>Inom 4 meter från avverkningsanmälan finns fynd av 20 naturvårdsarter, varav 15 är rödlistade, 4 är fridlysta, 2 är typiska (T) och 1 är signalart (S): bredbrämad bastardsvärmare (VU), brunfläckig pärlemorfjäril (VU), mindre bastardsvärmare (VU), violettkantad guldvinge (VU), ängsblåvinge (VU), gullklöver (NT), klubbsprötad bastardsvärmare (NT), mindre tåtelsmygare (NT), silversmygare (NT), skogshare (NT), smalvingad blombock (NT), solvända (NT), vippärt (NT, T), vitfläckig guldvinge (NT), ängsmetallvinge (NT), ekoxe (S, §6), ängskovall (T), törnskata (§4), åkergroda (§4a)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