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4041-2023 i Oskarshamns kommun</w:t>
      </w:r>
    </w:p>
    <w:p>
      <w:r>
        <w:t>Detta klagomål behandlar höga naturvärden i avverkningsanmälan A 4041-2023 i Oskarshamns kommun som inkom 2023-01-26 och omfattar 1,7 ha.</w:t>
      </w:r>
    </w:p>
    <w:p>
      <w:pPr>
        <w:pStyle w:val="Caption"/>
      </w:pPr>
      <w:r>
        <w:drawing>
          <wp:inline xmlns:a="http://schemas.openxmlformats.org/drawingml/2006/main" xmlns:pic="http://schemas.openxmlformats.org/drawingml/2006/picture">
            <wp:extent cx="5486400" cy="4575771"/>
            <wp:docPr id="1" name="Picture 1"/>
            <wp:cNvGraphicFramePr>
              <a:graphicFrameLocks noChangeAspect="1"/>
            </wp:cNvGraphicFramePr>
            <a:graphic>
              <a:graphicData uri="http://schemas.openxmlformats.org/drawingml/2006/picture">
                <pic:pic>
                  <pic:nvPicPr>
                    <pic:cNvPr id="0" name="A 4041-2023 karta.png"/>
                    <pic:cNvPicPr/>
                  </pic:nvPicPr>
                  <pic:blipFill>
                    <a:blip r:embed="rId16"/>
                    <a:stretch>
                      <a:fillRect/>
                    </a:stretch>
                  </pic:blipFill>
                  <pic:spPr>
                    <a:xfrm>
                      <a:off x="0" y="0"/>
                      <a:ext cx="5486400" cy="4575771"/>
                    </a:xfrm>
                    <a:prstGeom prst="rect"/>
                  </pic:spPr>
                </pic:pic>
              </a:graphicData>
            </a:graphic>
          </wp:inline>
        </w:drawing>
      </w:r>
    </w:p>
    <w:p>
      <w:pPr>
        <w:pStyle w:val="Caption"/>
        <w:spacing w:after="240"/>
      </w:pPr>
      <w:r>
        <w:t>Figur 1. Fyndplatser för naturvårdsarter i och inom 21 meter från avverkningsanmälan. Markörer utan svart kant är placerade på fyndplatsen. Markörer med svart kant är placerade vid sidan av fyndplatsen och har ett svart streck som visar fyndplatsens exakta position. Kartans mittpunktskoordinat är N 6336935, E 587455 i SWEREF 99 TM.</w:t>
      </w:r>
    </w:p>
    <w:p>
      <w:r>
        <w:t>I och inom 21 meter från avverkningsanmälan finns fynd av 11 naturvårdsarter, varav 4 är rödlistade, 5 är fridlysta, 8 är typiska (T) och 4 är signalarter (S): grönfink (VU, §4), knärot (VU, T, §8), fjällig taggsvamp s.str. (NT), tallticka (NT, T), blåmossa (S, T), granbarkgnagare (S, T), mindre märgborre (S, T), murgröna (S, T), blåsippa (T, §9), spillkråka (T, §4) och grönsiska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29 fyndplatser för knärot registrerade på Artportalen. Figur 2 visar gränserna för buffertzoner på 50 m, som behöver lämnas kring fyndplatserna för att knärotslokalerna inte ska försvinna vid en avverkning. Av det avverkningsanmälda området överlappar 1.36 ha med buffertzonerna och får av detta skäl inte avverkas.</w:t>
      </w:r>
    </w:p>
    <w:p>
      <w:pPr>
        <w:pStyle w:val="Caption"/>
      </w:pPr>
      <w:r>
        <w:drawing>
          <wp:inline xmlns:a="http://schemas.openxmlformats.org/drawingml/2006/main" xmlns:pic="http://schemas.openxmlformats.org/drawingml/2006/picture">
            <wp:extent cx="5486400" cy="4440025"/>
            <wp:docPr id="2" name="Picture 2"/>
            <wp:cNvGraphicFramePr>
              <a:graphicFrameLocks noChangeAspect="1"/>
            </wp:cNvGraphicFramePr>
            <a:graphic>
              <a:graphicData uri="http://schemas.openxmlformats.org/drawingml/2006/picture">
                <pic:pic>
                  <pic:nvPicPr>
                    <pic:cNvPr id="0" name="A 4041-2023 karta knärot.png"/>
                    <pic:cNvPicPr/>
                  </pic:nvPicPr>
                  <pic:blipFill>
                    <a:blip r:embed="rId17"/>
                    <a:stretch>
                      <a:fillRect/>
                    </a:stretch>
                  </pic:blipFill>
                  <pic:spPr>
                    <a:xfrm>
                      <a:off x="0" y="0"/>
                      <a:ext cx="5486400" cy="4440025"/>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6336935, E 587455 i SWEREF 99 TM.</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Tallticka (NT) </w:t>
      </w:r>
      <w:r>
        <w:t xml:space="preserve">uppträder först på tallar som är 100–150 år gamla men är vanligast på träd som är runt 150–200 år eller äldre. I skogslandskapet är den främst knuten till tallnaturskogar och restbiotoper med biologiskt gamla träd och signalerar vanligtvis skyddsvärda tallbestånd med höga naturvärden. Tallticka är typisk art för </w:t>
      </w:r>
      <w:r>
        <w:rPr>
          <w:i/>
        </w:rPr>
        <w:t xml:space="preserve">9010 Taiga </w:t>
      </w:r>
      <w:r>
        <w:t xml:space="preserve">och </w:t>
      </w:r>
      <w:r>
        <w:rPr>
          <w:i/>
        </w:rPr>
        <w:t>9060 Åsbarrskog</w:t>
      </w:r>
      <w:r>
        <w:t xml:space="preserve"> (SLU Artdatabanken, 2023; Nitare &amp; Skogsstyrelsen, 2019).</w:t>
      </w:r>
    </w:p>
    <w:p>
      <w:r>
        <w:rPr>
          <w:b/>
        </w:rPr>
        <w:t xml:space="preserve">Blåmossa </w:t>
      </w:r>
      <w:r>
        <w:t xml:space="preserve">har karaktäristiska kuddar som är lätta att se på långt håll. Mycket stora kuddar, större än 0,5 meter i höjd, indikerar höga naturvärden där skogen har en lång period av orördhet oh stabila miljöförhållanden. Mossan växer under gynnsamma omständigheter cirka 1 centimeter per år och stora kuddar kan därför indirekt visa att lokalen varit lämplig under en lång tid. Blåmossa är typisk art för </w:t>
      </w:r>
      <w:r>
        <w:rPr>
          <w:i/>
        </w:rPr>
        <w:t>9010 Taiga, 9080 Lövsumpskog</w:t>
      </w:r>
      <w:r>
        <w:t xml:space="preserve"> och </w:t>
      </w:r>
      <w:r>
        <w:rPr>
          <w:i/>
        </w:rPr>
        <w:t>9750 Svämlövskog</w:t>
      </w:r>
      <w:r>
        <w:t xml:space="preserve"> (SLU Artdatabanken, 2025; Nitare &amp; Skogsstyrelsen, 2019).</w:t>
      </w:r>
    </w:p>
    <w:p>
      <w:r>
        <w:rPr>
          <w:b/>
        </w:rPr>
        <w:t xml:space="preserve">Granbarkgnagare </w:t>
      </w:r>
      <w:r>
        <w:t xml:space="preserve">är en skalbagge vars larvutveckling sker i den tjocka ytterbarken på gamla och mycket grova levande granar. Man lägger lätt märke till angreppen på träden eftersom flera grova kläckhål ligger ganska tätt intill varandra på de grövre barkåsarna. Kläckhålen är runda och ca 1,5 mm breda. Granbarkgnagare är typisk art för </w:t>
      </w:r>
      <w:r>
        <w:rPr>
          <w:i/>
        </w:rPr>
        <w:t xml:space="preserve">9010 Taiga </w:t>
      </w:r>
      <w:r>
        <w:t>(Ehnström, 2002; SLU Artdatabanken, 2025).</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Murgröna</w:t>
      </w:r>
      <w:r>
        <w:t xml:space="preserve"> är typisk art för </w:t>
      </w:r>
      <w:r>
        <w:rPr>
          <w:i/>
        </w:rPr>
        <w:t xml:space="preserve">9160 Näringsrik ekskog </w:t>
      </w:r>
      <w:r>
        <w:t>och</w:t>
      </w:r>
      <w:r>
        <w:rPr>
          <w:i/>
        </w:rPr>
        <w:t xml:space="preserve"> 9190 Näringsfattig ekskog </w:t>
      </w:r>
      <w:r>
        <w:t>(SLU Artdatabanken, 2025).</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11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2026-10-12</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