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8258-2026 i Oskarshamns kommun</w:t>
      </w:r>
    </w:p>
    <w:p>
      <w:r>
        <w:t>Detta dokument behandlar höga naturvärden i avverkningsanmälan A 8258-2026 i Oskarshamns kommun som inkom 2026-02-10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20 meter från avverkningsanmälan har följande 11 naturvårdsarter hittats: ekticka (NT, T), entita (NT, T, §4), mindre hackspett (NT, T, §4), vedskivlav (NT, T), fällmossa (S, T), jättesvampmal (S), myskmadra (S, T), spillkråka (T, §4), stjärtmes (T, §4), trana (§4) och utter (§4a). Av dessa är 4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551147"/>
            <wp:docPr id="1" name="Picture 1"/>
            <wp:cNvGraphicFramePr>
              <a:graphicFrameLocks noChangeAspect="1"/>
            </wp:cNvGraphicFramePr>
            <a:graphic>
              <a:graphicData uri="http://schemas.openxmlformats.org/drawingml/2006/picture">
                <pic:pic>
                  <pic:nvPicPr>
                    <pic:cNvPr id="0" name="A 8258-2026 karta.png"/>
                    <pic:cNvPicPr/>
                  </pic:nvPicPr>
                  <pic:blipFill>
                    <a:blip r:embed="rId16"/>
                    <a:stretch>
                      <a:fillRect/>
                    </a:stretch>
                  </pic:blipFill>
                  <pic:spPr>
                    <a:xfrm>
                      <a:off x="0" y="0"/>
                      <a:ext cx="5486400" cy="4551147"/>
                    </a:xfrm>
                    <a:prstGeom prst="rect"/>
                  </pic:spPr>
                </pic:pic>
              </a:graphicData>
            </a:graphic>
          </wp:inline>
        </w:drawing>
      </w:r>
    </w:p>
    <w:p>
      <w:pPr>
        <w:pStyle w:val="Caption"/>
        <w:spacing w:after="240"/>
      </w:pPr>
      <w:r>
        <w:t>Figur 1. Fyndplatser för naturvårdsarter i och inom 20 meter från avverkningsanmälan (röd linje). Markörer utan svart kant är placerade på fyndplatsen. Markörer med svart kant är placerade vid sidan av fyndplatsen och har ett svart streck som visar fyndplatsens exakta position. Kartans mittpunktskoordinat är N 6357705, E 587466 i SWEREF 99 TM.</w:t>
      </w:r>
    </w:p>
    <w:p>
      <w:pPr>
        <w:pStyle w:val="Heading2"/>
      </w:pPr>
      <w:r>
        <w:t>Fridlysta arter</w:t>
      </w:r>
    </w:p>
    <w:p>
      <w:r>
        <w:t>Följande fridlysta arter har sina livsmiljöer och växtplatser i den avverkningsanmälda skogen: entita (NT, T, §4), mindre hackspett (NT, T, §4), spillkråka (T, §4), stjärtmes (T, §4), trana (§4) och utter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Stjärtmes (§4)</w:t>
      </w:r>
      <w:r>
        <w:t xml:space="preserve"> häckar i löv- och blandskog. Studier har visat att den behöver ca 15 % medelålders till äldre lövrika bestånd (&gt;50 % löv), om avståndet mellan bestånden är 500 m. Stjärtmes är fridlyst enligt 4§ artskyddsförordningen och typisk art för </w:t>
      </w:r>
      <w:r>
        <w:rPr>
          <w:i/>
        </w:rPr>
        <w:t>9010 Taiga, 9030 Landhöjningsskog, 9080 Lövsumpskog</w:t>
      </w:r>
      <w:r>
        <w:t xml:space="preserve"> och</w:t>
      </w:r>
      <w:r>
        <w:rPr>
          <w:i/>
        </w:rPr>
        <w:t xml:space="preserve"> 9750 Svämlövskog </w:t>
      </w:r>
      <w:r>
        <w:t>(Jansson, 1999; Skogsstyrelsen, 2014; SLU Artdatabanken, 2025).</w:t>
      </w:r>
    </w:p>
    <w:p>
      <w:r>
        <w:t>I BILAGA 1 finns mer detaljerad information om ekologi samt krav på livsmiljö hos fridlysta arter.</w:t>
      </w:r>
    </w:p>
    <w:p>
      <w:pPr>
        <w:pStyle w:val="Heading2"/>
      </w:pPr>
      <w:r>
        <w:t>Övriga naturvårdsarter</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