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73602-2021 i Oskarshamns kommun</w:t>
      </w:r>
    </w:p>
    <w:p>
      <w:r>
        <w:t>Detta dokument behandlar höga naturvärden i avverkningsanmälan A 73602-2021 i Oskarshamns kommun. Denna avverkningsanmälan inkom 2021-12-22 00:00:00 och omfattar 4,5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skogssvingel (NT), svedjenäva (NT) och blåsippa (§9).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63432"/>
            <wp:docPr id="1" name="Picture 1"/>
            <wp:cNvGraphicFramePr>
              <a:graphicFrameLocks noChangeAspect="1"/>
            </wp:cNvGraphicFramePr>
            <a:graphic>
              <a:graphicData uri="http://schemas.openxmlformats.org/drawingml/2006/picture">
                <pic:pic>
                  <pic:nvPicPr>
                    <pic:cNvPr id="0" name="A 73602-2021 karta.png"/>
                    <pic:cNvPicPr/>
                  </pic:nvPicPr>
                  <pic:blipFill>
                    <a:blip r:embed="rId16"/>
                    <a:stretch>
                      <a:fillRect/>
                    </a:stretch>
                  </pic:blipFill>
                  <pic:spPr>
                    <a:xfrm>
                      <a:off x="0" y="0"/>
                      <a:ext cx="5486400" cy="396343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6371431, E 575455 i SWEREF 99 TM.</w:t>
      </w:r>
    </w:p>
    <w:p>
      <w:r>
        <w:rPr>
          <w:b/>
        </w:rPr>
        <w:t xml:space="preserve">Skogssvingel (NT) </w:t>
      </w:r>
      <w:r>
        <w:t xml:space="preserve">är ett sällsynt och exklusivt lundgräs som växer i bokskog, granskog och ädellövskog. Den hittas framför allt i gamla naturskogar med långvarig kontinuitet och hög luftfuktighet. Samtliga förekomster har idag reliktkaraktär och är troligen mycket gamla och arten är placerad högst upp i Skogsstyrelsens värdepyramid för bedömning av skog med höga naturvärden. Arten är mycket känslig för skogsbruk och samtliga lokaler bör skyddas. Skogssvingel är typisk art för </w:t>
      </w:r>
      <w:r>
        <w:rPr>
          <w:i/>
        </w:rPr>
        <w:t xml:space="preserve">9020 Nordlig ädellövskog </w:t>
      </w:r>
      <w:r>
        <w:t xml:space="preserve">och </w:t>
      </w:r>
      <w:r>
        <w:rPr>
          <w:i/>
        </w:rPr>
        <w:t>9180 Ädellövskog i branter</w:t>
      </w:r>
      <w:r>
        <w:rPr>
          <w:b/>
        </w:rPr>
        <w:t xml:space="preserve"> </w:t>
      </w:r>
      <w:r>
        <w:t>(SLU Artdatabanken, 2024; Nitare &amp; Skogsstyrelsen, 2019).</w:t>
      </w:r>
    </w:p>
    <w:p>
      <w:r>
        <w:rPr>
          <w:b/>
        </w:rPr>
        <w:t>Svedjenäva (NT)</w:t>
      </w:r>
      <w:r>
        <w:t xml:space="preserve"> växer på brandplatser, vid kolbottnar och på annan vegetationsfri mark som nyligen omrörts och blivit uppvärmd av solen. Kolningen och svedjebrukets upphörande, liksom minskad areal av skogsmark som utsätts för skogsbrand eller hyggesbränning har medfört att antalet lämpliga lokaler starkt minskat. Svedjenäva är typisk art för </w:t>
      </w:r>
      <w:r>
        <w:rPr>
          <w:i/>
        </w:rPr>
        <w:t xml:space="preserve">9010 Taiga </w:t>
      </w:r>
      <w:r>
        <w:t>(SLU Artdatabanken, 2025).</w:t>
      </w:r>
    </w:p>
    <w:p>
      <w:pPr>
        <w:pStyle w:val="Heading1"/>
      </w:pPr>
      <w:r>
        <w:t>Fridlysta arter</w:t>
      </w:r>
    </w:p>
    <w:p>
      <w:r>
        <w:t>Följande fridlysta arter har sina livsmiljöer och växtplatser i den avverkningsanmälda skogen: blåsippa (§9).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