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4041-2023 i Oskarshamns kommun</w:t>
      </w:r>
    </w:p>
    <w:p>
      <w:r>
        <w:t>Detta klagomål behandlar höga naturvärden i avverkningsanmälan A 4041-2023 i Oskarshamns kommun som inkom 2023-01-26 och omfattar 1,7 ha.</w:t>
      </w:r>
    </w:p>
    <w:p>
      <w:pPr>
        <w:pStyle w:val="Caption"/>
      </w:pPr>
      <w:r>
        <w:drawing>
          <wp:inline xmlns:a="http://schemas.openxmlformats.org/drawingml/2006/main" xmlns:pic="http://schemas.openxmlformats.org/drawingml/2006/picture">
            <wp:extent cx="5486400" cy="4575771"/>
            <wp:docPr id="1" name="Picture 1"/>
            <wp:cNvGraphicFramePr>
              <a:graphicFrameLocks noChangeAspect="1"/>
            </wp:cNvGraphicFramePr>
            <a:graphic>
              <a:graphicData uri="http://schemas.openxmlformats.org/drawingml/2006/picture">
                <pic:pic>
                  <pic:nvPicPr>
                    <pic:cNvPr id="0" name="A 4041-2023 karta.png"/>
                    <pic:cNvPicPr/>
                  </pic:nvPicPr>
                  <pic:blipFill>
                    <a:blip r:embed="rId16"/>
                    <a:stretch>
                      <a:fillRect/>
                    </a:stretch>
                  </pic:blipFill>
                  <pic:spPr>
                    <a:xfrm>
                      <a:off x="0" y="0"/>
                      <a:ext cx="5486400" cy="457577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6336935, E 587455 i SWEREF 99 TM.</w:t>
      </w:r>
    </w:p>
    <w:p>
      <w:r>
        <w:t>I och inom 21 meter från avverkningsanmälan finns fynd av 11 naturvårdsarter, varav 4 är rödlistade, 5 är fridlysta, 8 är typiska (T) och 4 är signalarter (S): grönfink (VU, §4), knärot (VU, T, §8), fjällig taggsvamp s.str. (NT), tallticka (NT, T), blåmossa (S, T), granbarkgnagare (S, T), mindre märgborre (S, T), murgröna (S, T), blåsippa (T, §9), spillkråka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29 fyndplatser för knärot registrerade på Artportalen. Figur 2 visar gränserna för buffertzoner på 50 m, som behöver lämnas kring fyndplatserna för att knärotslokalerna inte ska försvinna vid en avverkning. Av det avverkningsanmälda området överlappar 1.36 ha med buffertzonerna och får av detta skäl inte avverkas.</w:t>
      </w:r>
    </w:p>
    <w:p>
      <w:pPr>
        <w:pStyle w:val="Caption"/>
      </w:pPr>
      <w:r>
        <w:drawing>
          <wp:inline xmlns:a="http://schemas.openxmlformats.org/drawingml/2006/main" xmlns:pic="http://schemas.openxmlformats.org/drawingml/2006/picture">
            <wp:extent cx="5486400" cy="4440025"/>
            <wp:docPr id="2" name="Picture 2"/>
            <wp:cNvGraphicFramePr>
              <a:graphicFrameLocks noChangeAspect="1"/>
            </wp:cNvGraphicFramePr>
            <a:graphic>
              <a:graphicData uri="http://schemas.openxmlformats.org/drawingml/2006/picture">
                <pic:pic>
                  <pic:nvPicPr>
                    <pic:cNvPr id="0" name="A 4041-2023 karta knärot.png"/>
                    <pic:cNvPicPr/>
                  </pic:nvPicPr>
                  <pic:blipFill>
                    <a:blip r:embed="rId17"/>
                    <a:stretch>
                      <a:fillRect/>
                    </a:stretch>
                  </pic:blipFill>
                  <pic:spPr>
                    <a:xfrm>
                      <a:off x="0" y="0"/>
                      <a:ext cx="5486400" cy="44400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6336935, E 587455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