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2590-2020 i Oskarshamns kommun</w:t>
      </w:r>
    </w:p>
    <w:p>
      <w:r>
        <w:t>Denna tillsynsbegäran behandlar höga naturvärden i samrådsanmälan S 2590-2020 i Oskarshamns kommun som inkom 2020-11-30 och omfattar 0,7 ha.</w:t>
      </w:r>
    </w:p>
    <w:p>
      <w:pPr>
        <w:pStyle w:val="Caption"/>
      </w:pPr>
      <w:r>
        <w:drawing>
          <wp:inline xmlns:a="http://schemas.openxmlformats.org/drawingml/2006/main" xmlns:pic="http://schemas.openxmlformats.org/drawingml/2006/picture">
            <wp:extent cx="4207435" cy="5724000"/>
            <wp:docPr id="1" name="Picture 1"/>
            <wp:cNvGraphicFramePr>
              <a:graphicFrameLocks noChangeAspect="1"/>
            </wp:cNvGraphicFramePr>
            <a:graphic>
              <a:graphicData uri="http://schemas.openxmlformats.org/drawingml/2006/picture">
                <pic:pic>
                  <pic:nvPicPr>
                    <pic:cNvPr id="0" name="S 2590-2020 karta.png"/>
                    <pic:cNvPicPr/>
                  </pic:nvPicPr>
                  <pic:blipFill>
                    <a:blip r:embed="rId16"/>
                    <a:stretch>
                      <a:fillRect/>
                    </a:stretch>
                  </pic:blipFill>
                  <pic:spPr>
                    <a:xfrm>
                      <a:off x="0" y="0"/>
                      <a:ext cx="4207435" cy="5724000"/>
                    </a:xfrm>
                    <a:prstGeom prst="rect"/>
                  </pic:spPr>
                </pic:pic>
              </a:graphicData>
            </a:graphic>
          </wp:inline>
        </w:drawing>
      </w:r>
    </w:p>
    <w:p>
      <w:pPr>
        <w:pStyle w:val="Caption"/>
        <w:spacing w:after="240"/>
      </w:pPr>
      <w:r>
        <w:t>Figur 1. Fyndplatser för naturvårdsarter i och inom 13 meter från samrådsanmälan. Markörer utan svart kant är placerade på fyndplatsen. Markörer med svart kant är placerade vid sidan av fyndplatsen och har ett svart streck som visar fyndplatsens exakta position. Kartans mittpunktskoordinat är N 6376919, E 587929 i SWEREF 99 TM.</w:t>
      </w:r>
    </w:p>
    <w:p>
      <w:r>
        <w:t>I och inom 13 meter från samrådsanmälan finns fynd av 12 naturvårdsarter, varav 9 är rödlistade, 1 är fridlyst, 8 är typiska (T) och 3 är signalarter (S): läderbagge (VU, §4a), gammelekslav (NT, T), gul dropplav (NT), lunglav (NT, T), parknål (NT), rosa skärelav (NT, T), rödbrun blekspik (NT, T), skuggorangelav (NT), tallticka (NT, T), fällmossa (S, T), gulnål (S, T) och gulpudrad spiklav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Läderbagge (VU, §4a)</w:t>
      </w:r>
      <w:r>
        <w:t xml:space="preserve"> är strikt skyddad enligt EU:s art- och habitatdirektiv vilket innebär att hela dess livsmiljö med ekar i alla åldrar behöver bevaras för artens långsiktiga överlevnad i landskapet. Läderbaggens larvutveckling sker i trädhåligheter med mulm i grova ihåliga lövträd, där larven lever av den omgivande, fastare döda veden. I Sverige främst i ek, men även i ask, bok, lind, klibbal, hästkastanj, alm, apel och asp. Läderbaggen påverkar livsmiljön för andra arter genom att utvidga håligheter, öka mängden mulm och höja kvävehalten i mulmen. I stamhåligheter med läderbagge förekommer ofta en rad andra rödlistade arter. Läderbagge är globalt rödlistad som nära hotad (NT) vilket innebär att Sverige har ett internationellt ansvar för arten (IUCN, 2025; SLU Artdatabanken, 2021; Nilsson m.fl. 2002).</w:t>
      </w:r>
    </w:p>
    <w:p>
      <w:r>
        <w:rPr>
          <w:b/>
        </w:rPr>
        <w:t xml:space="preserve">Gammelekslav (NT) </w:t>
      </w:r>
      <w:r>
        <w:t>är en mycket exklusiv lav som</w:t>
      </w:r>
      <w:r>
        <w:rPr>
          <w:b/>
        </w:rPr>
        <w:t xml:space="preserve"> </w:t>
      </w:r>
      <w:r>
        <w:t xml:space="preserve">växer på grova ekar i halvöppet läge med hög luftfuktighet. Lämpliga ekar nyskapas i mycket begränsad omfattning. Arten är placerad högst upp i Skogsstyrelsens värdepyramid för bedömning av skog med höga naturvärden. Håll öppet kring ekjättarnas ömtåliga och konkurrenskänsliga kronor. Särskilt rika lokaler med gammelekslav måste skyddas. Gammelekslav är typisk art för </w:t>
      </w:r>
      <w:r>
        <w:rPr>
          <w:i/>
        </w:rPr>
        <w:t xml:space="preserve">9160 Näringsrik ekskog </w:t>
      </w:r>
      <w:r>
        <w:t xml:space="preserve">och </w:t>
      </w:r>
      <w:r>
        <w:rPr>
          <w:i/>
        </w:rPr>
        <w:t>9070 Trädklädd betesmark</w:t>
      </w:r>
      <w:r>
        <w:t xml:space="preserve"> (SLU Artdatabanken, 2024; Nitare &amp; Skogsstyrelsen, 2019).</w:t>
      </w:r>
    </w:p>
    <w:p>
      <w:r>
        <w:rPr>
          <w:b/>
        </w:rPr>
        <w:t xml:space="preserve">Gul dropplav (NT) </w:t>
      </w:r>
      <w:r>
        <w:t>växer praktiskt taget enbart på gamla, grova ekar i öppna till halvöppna miljöer som glesa ekhagar och lövängar. Antalet gamla grova ekar har minskat och det är viktigt att hålla öppet kring stammar och kronor på grova ekar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Parknål (NT) </w:t>
      </w:r>
      <w:r>
        <w:t>växer söder om Dalälven på gamla ädellövträd och i norra Sverige på mycket gamla sälgar i skogar med hög och jämn luftfuktighet. Ofta förekommer den tillsammans med andra rödlistade knappnålslavar. Lämpliga träd nyskapas i begränsad omfattning. Spara grova träd, restaurera hag- och slåttermarker och öppna runt grova ekar som nu är kraftigt beskuggade. Förekomsterna i norra Sverige måste skyddas (SLU Artdatabanken, 2025).</w:t>
      </w:r>
    </w:p>
    <w:p>
      <w:r>
        <w:rPr>
          <w:b/>
        </w:rPr>
        <w:t>Rosa skärelav (NT)</w:t>
      </w:r>
      <w:r>
        <w:t xml:space="preserve"> är en sällsynt skorplav som är spridd från Skåne till Lule Lappmark. I södra Sverige förekommer den i trädbärande marker med lång trädkontinuitet, framför allt på ek och i norra Sverige förekommer den i kontinuitetsskog med hög luftfuktighet, främst på sälg. Särskilt rika lokaler med rosa skärelav måste skyddas. Alla skogar med arten bör undantas från slutavverkning. Rosa skärelav är typisk art för </w:t>
      </w:r>
      <w:r>
        <w:rPr>
          <w:i/>
        </w:rPr>
        <w:t xml:space="preserve">9160 Näringsrik ekskog </w:t>
      </w:r>
      <w:r>
        <w:t>och</w:t>
      </w:r>
      <w:r>
        <w:rPr>
          <w:i/>
        </w:rPr>
        <w:t xml:space="preserve"> 9190 Näringsfattig ekskog</w:t>
      </w:r>
      <w:r>
        <w:t xml:space="preserve"> (SLU Artdatabanken, 2024; Nitare &amp; Skogsstyrelsen, 2019).</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Skuggorangelav (NT)</w:t>
      </w:r>
      <w:r>
        <w:t xml:space="preserve"> växer främst på gamla grova ekar i halvöppna lägen. På lokaler med skuggorangelav måste ett tillräckligt antal unga träd tillåtas bli mycket gamla för att på lång sikt ersätta de nuvarande gammelträden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Gulpudrad spiklav</w:t>
      </w:r>
      <w:r>
        <w:t xml:space="preserve"> är en av de viktigaste karaktärsarterna för gamla grova ekar. Den har högt signalvärde och visar på jätteekar som ofta har en rik flora av andra sällsynta lavar. Förekomster på andra substrat än ek visar också på skyddsvärda trädbestånd. Gulpudrad spiklav är typisk art för </w:t>
      </w:r>
      <w:r>
        <w:rPr>
          <w:i/>
        </w:rPr>
        <w:t>9070 Trädklädd betesmark</w:t>
      </w:r>
      <w:r>
        <w:t xml:space="preserve"> och </w:t>
      </w:r>
      <w:r>
        <w:rPr>
          <w:i/>
        </w:rPr>
        <w:t>9160 Näringsrik ekskog</w:t>
      </w:r>
      <w:r>
        <w:t xml:space="preserve"> (Nitare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gammelekslav (NT, T), lunglav (NT, T), rosa skärelav (NT, T), rödbrun blekspik (NT, T), tallticka (NT, T), fällmossa (S, T), gulnål (S, T) och gulpudrad spiklav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