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8258-2026 i Oskarshamns kommun</w:t>
      </w:r>
    </w:p>
    <w:p>
      <w:r>
        <w:t>Detta dokument behandlar höga naturvärden i avverkningsanmälan A 8258-2026 i Oskarshamns kommun som inkom 2026-02-10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ekticka (NT, T), entita (NT, T, §4), mindre hackspett (NT, T, §4), vedskivlav (NT, T), fällmossa (S, T), jättesvampmal (S), myskmadra (S, T), spillkråka (T, §4), stjärtmes (T, §4), trana (§4) och utter (§4a).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6357705, E 587466 i SWEREF 99 TM.</w:t>
      </w:r>
    </w:p>
    <w:p>
      <w:pPr>
        <w:pStyle w:val="Heading2"/>
      </w:pPr>
      <w:r>
        <w:t>Fridlysta arter</w:t>
      </w:r>
    </w:p>
    <w:p>
      <w:r>
        <w:t>Följande fridlysta arter har sina livsmiljöer och växtplatser i den avverkningsanmälda skogen: entita (NT, T, §4), mindre hackspett (NT, T, §4), spillkråka (T, §4), stjärtmes (T, §4), trana (§4) och utter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