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48442-2022 i Oskarshamns kommun</w:t>
      </w:r>
    </w:p>
    <w:p>
      <w:r>
        <w:t>Detta dokument behandlar höga naturvärden i avverkningsanmälan A 48442-2022 i Oskarshamns kommun som inkom 2022-10-24 och omfattar 2,9 ha.</w:t>
      </w:r>
      <w:r>
        <w:t xml:space="preserve"> I Figur 1 visas fyndplatser för naturvårdsarter i området, som finns registrerade på Artportalen.</w:t>
      </w:r>
    </w:p>
    <w:p>
      <w:pPr>
        <w:pStyle w:val="Caption"/>
      </w:pPr>
      <w:r>
        <w:drawing>
          <wp:inline xmlns:a="http://schemas.openxmlformats.org/drawingml/2006/main" xmlns:pic="http://schemas.openxmlformats.org/drawingml/2006/picture">
            <wp:extent cx="5486400" cy="4530522"/>
            <wp:docPr id="1" name="Picture 1"/>
            <wp:cNvGraphicFramePr>
              <a:graphicFrameLocks noChangeAspect="1"/>
            </wp:cNvGraphicFramePr>
            <a:graphic>
              <a:graphicData uri="http://schemas.openxmlformats.org/drawingml/2006/picture">
                <pic:pic>
                  <pic:nvPicPr>
                    <pic:cNvPr id="0" name="A 48442-2022 karta.png"/>
                    <pic:cNvPicPr/>
                  </pic:nvPicPr>
                  <pic:blipFill>
                    <a:blip r:embed="rId16"/>
                    <a:stretch>
                      <a:fillRect/>
                    </a:stretch>
                  </pic:blipFill>
                  <pic:spPr>
                    <a:xfrm>
                      <a:off x="0" y="0"/>
                      <a:ext cx="5486400" cy="4530522"/>
                    </a:xfrm>
                    <a:prstGeom prst="rect"/>
                  </pic:spPr>
                </pic:pic>
              </a:graphicData>
            </a:graphic>
          </wp:inline>
        </w:drawing>
      </w:r>
    </w:p>
    <w:p>
      <w:pPr>
        <w:pStyle w:val="Caption"/>
        <w:spacing w:after="240"/>
      </w:pPr>
      <w:r>
        <w:t>Figur 1. Fyndplatser för naturvårdsarter i avverkningsanmälan (röd linje). Inom parentes anges rödlistekategorier, S för signalarter, Tför typiska arter och fridlysningsparagrafer i artskyddsförordningen.Markörer utan svart kant är placerade på fyndplatsen. Markörer med svart kant är placerade vid sidan av fyndplatsen och har ett svart streck som visar fyndplatsens exakta position. Kartans mittpunktskoordinat är N 6378150, E 596985 i SWEREF 99 TM.</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ekoxe (S, §6). Arter som är signalarter enligt Skogsstyrelsen har markerats med (S). För fridlysta arter anges även paragrafen i Artskyddsförordningen som arten är fridlyst enligt.</w:t>
      </w:r>
    </w:p>
    <w:p>
      <w:r>
        <w:t>De påträffade naturvårdsarterna är ett tydligt kvitto på att det rör sig om en skog med höga naturvärden.</w:t>
      </w:r>
    </w:p>
    <w:p>
      <w:pPr>
        <w:pStyle w:val="Heading2"/>
      </w:pPr>
      <w:r>
        <w:t>Fridlysta arter</w:t>
      </w:r>
    </w:p>
    <w:p>
      <w:r>
        <w:t>Följande fridlysta arter har sina livsmiljöer och växtplatser i den avverkningsanmälda skogen: ekoxe (S, §6).</w:t>
      </w:r>
    </w:p>
    <w:p>
      <w:r>
        <w:rPr>
          <w:b/>
        </w:rPr>
        <w:t xml:space="preserve">Ekoxe (§6) </w:t>
      </w:r>
      <w:r>
        <w:t>omfattas av EU:s art- och habitatdirektiv och är fridlyst enligt 6 § artskyddsförordningen.</w:t>
      </w:r>
      <w:r>
        <w:rPr>
          <w:b/>
        </w:rPr>
        <w:t xml:space="preserve"> </w:t>
      </w:r>
      <w:r>
        <w:t>Dess larvutveckling sker i och vid stubbar, i lågor med markkontakt och grövre döda rötter av olika lövträd, även i döda rotdelar på levande träd. I Sverige främst funnen i ek men även några gånger i bok, hassel, ask och björk. Arten lever främst i halvöppna miljöer såsom trädklädda hagmarker eller gles skog, gärna i sydsluttningar. Arten påverkas negativt av brist på grova eller gamla träd och det föreligger indikation på eller misstanke om populationsminskning. Minskningen avser kvalitén på artens habitat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