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36932-2025 i Oskarshamns kommun</w:t>
      </w:r>
    </w:p>
    <w:p>
      <w:r>
        <w:t>Detta dokument behandlar höga naturvärden i avverkningsanmälan A 36932-2025 i Oskarshamns kommun. Denna avverkningsanmälan inkom 2025-08-05 13:31:36 och omfattar 12,2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knärot (VU, §8), grön aspvedbock (NT), spillkråka (NT, §4), tallticka (NT), talltita (NT, §4), ullticka (NT), vedskivlav (NT), blåmossa (S), dropptaggsvamp (S), fällmossa (S), grönpyrola (S), jättesvampmal (S), kornknutmossa (S), gröngöling (§4), grönsiska (§4), kungsfågel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7867"/>
            <wp:docPr id="1" name="Picture 1"/>
            <wp:cNvGraphicFramePr>
              <a:graphicFrameLocks noChangeAspect="1"/>
            </wp:cNvGraphicFramePr>
            <a:graphic>
              <a:graphicData uri="http://schemas.openxmlformats.org/drawingml/2006/picture">
                <pic:pic>
                  <pic:nvPicPr>
                    <pic:cNvPr id="0" name="A 36932-2025 karta.png"/>
                    <pic:cNvPicPr/>
                  </pic:nvPicPr>
                  <pic:blipFill>
                    <a:blip r:embed="rId16"/>
                    <a:stretch>
                      <a:fillRect/>
                    </a:stretch>
                  </pic:blipFill>
                  <pic:spPr>
                    <a:xfrm>
                      <a:off x="0" y="0"/>
                      <a:ext cx="5486400" cy="6557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6373652, E 575495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Grön aspvedbock (NT)</w:t>
      </w:r>
      <w:r>
        <w:t xml:space="preserve"> är en skalbagge vars larvutveckling sker under tjock bark på nyligen döda stammar och grova grenar (&gt;5 cm diameter) av lövträd, i Sverige nästan uteslutande asp. Främsta hotet är bristen på gammal aspskog. Skogsbruket har under lång tid missgynnat asp, och det är idag på många håll ovanligt med gamla lövrika skogar. Inom skogsbruket bör man spara aspar vid röjning, gallring och slutavverkning, och därmed få andelen lövskog att öka i hela skogslandskapet. Bruket att ringbarka gamla aspar för att motverka rotskott bör upphöra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grönsiska (§4), kungsfågel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26 fyndplatser för knärot registrerade på Artportalen. Figur 2 visar gränserna för buffertzoner på 50 m, som behöver lämnas kring fyndplatserna för att knärotslokalerna inte ska försvinna vid en avverkning. Av det avverkningsanmälda området överlappar 5.25 ha med buffertzonerna och får av detta skäl inte avverkas.</w:t>
      </w:r>
    </w:p>
    <w:p>
      <w:pPr>
        <w:pStyle w:val="Caption"/>
      </w:pPr>
      <w:r>
        <w:drawing>
          <wp:inline xmlns:a="http://schemas.openxmlformats.org/drawingml/2006/main" xmlns:pic="http://schemas.openxmlformats.org/drawingml/2006/picture">
            <wp:extent cx="5486400" cy="8600375"/>
            <wp:docPr id="2" name="Picture 2"/>
            <wp:cNvGraphicFramePr>
              <a:graphicFrameLocks noChangeAspect="1"/>
            </wp:cNvGraphicFramePr>
            <a:graphic>
              <a:graphicData uri="http://schemas.openxmlformats.org/drawingml/2006/picture">
                <pic:pic>
                  <pic:nvPicPr>
                    <pic:cNvPr id="0" name="A 36932-2025 karta knärot.png"/>
                    <pic:cNvPicPr/>
                  </pic:nvPicPr>
                  <pic:blipFill>
                    <a:blip r:embed="rId17"/>
                    <a:stretch>
                      <a:fillRect/>
                    </a:stretch>
                  </pic:blipFill>
                  <pic:spPr>
                    <a:xfrm>
                      <a:off x="0" y="0"/>
                      <a:ext cx="5486400" cy="860037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6373652, E 575495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