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73602-2021 i Oskarshamns kommun</w:t>
      </w:r>
    </w:p>
    <w:p>
      <w:r>
        <w:t>Detta dokument behandlar höga naturvärden i avverkningsanmälan A 73602-2021 i Oskarshamns kommun. Denna avverkningsanmälan inkom 2021-12-22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skogssvingel (NT), svedjenäva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3432"/>
            <wp:docPr id="1" name="Picture 1"/>
            <wp:cNvGraphicFramePr>
              <a:graphicFrameLocks noChangeAspect="1"/>
            </wp:cNvGraphicFramePr>
            <a:graphic>
              <a:graphicData uri="http://schemas.openxmlformats.org/drawingml/2006/picture">
                <pic:pic>
                  <pic:nvPicPr>
                    <pic:cNvPr id="0" name="A 73602-2021 karta.png"/>
                    <pic:cNvPicPr/>
                  </pic:nvPicPr>
                  <pic:blipFill>
                    <a:blip r:embed="rId16"/>
                    <a:stretch>
                      <a:fillRect/>
                    </a:stretch>
                  </pic:blipFill>
                  <pic:spPr>
                    <a:xfrm>
                      <a:off x="0" y="0"/>
                      <a:ext cx="5486400" cy="3963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6371431, E 575455 i SWEREF 99 TM.</w:t>
      </w:r>
    </w:p>
    <w:p>
      <w:r>
        <w:rPr>
          <w:b/>
        </w:rPr>
        <w:t xml:space="preserve">Skogssvingel (NT) </w:t>
      </w:r>
      <w:r>
        <w:t>är ett sällsynt och exklusivt lundgräs som växer i bokskog, granskog och ädellövskog. Den hittas framför allt i gamla naturskogar med långvarig kontinuitet och hög luftfuktighet. Samtliga förekomster har idag reliktkaraktär och är troligen mycket gamla och arten är placerad högst upp i Skogsstyrelsens värdepyramid för bedömning av skog med höga naturvärden. Arten är mycket känslig för skogsbruk och samtliga lokaler bör skyddas</w:t>
      </w:r>
      <w:r>
        <w:rPr>
          <w:b/>
        </w:rPr>
        <w:t xml:space="preserve"> </w:t>
      </w:r>
      <w:r>
        <w:t>(SLU Artdatabanken, 2024;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