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10600-2023 i Oskarshamns kommun</w:t>
      </w:r>
    </w:p>
    <w:p>
      <w:r>
        <w:t>Detta klagomål behandlar höga naturvärden i avverkningsanmälan A 10600-2023 i Oskarshamns kommun som inkom 2023-02-27 och omfattar 4,3 ha.</w:t>
      </w:r>
    </w:p>
    <w:p>
      <w:pPr>
        <w:pStyle w:val="Caption"/>
      </w:pPr>
      <w:r>
        <w:drawing>
          <wp:inline xmlns:a="http://schemas.openxmlformats.org/drawingml/2006/main" xmlns:pic="http://schemas.openxmlformats.org/drawingml/2006/picture">
            <wp:extent cx="5072119" cy="5724000"/>
            <wp:docPr id="1" name="Picture 1"/>
            <wp:cNvGraphicFramePr>
              <a:graphicFrameLocks noChangeAspect="1"/>
            </wp:cNvGraphicFramePr>
            <a:graphic>
              <a:graphicData uri="http://schemas.openxmlformats.org/drawingml/2006/picture">
                <pic:pic>
                  <pic:nvPicPr>
                    <pic:cNvPr id="0" name="A 10600-2023 karta.png"/>
                    <pic:cNvPicPr/>
                  </pic:nvPicPr>
                  <pic:blipFill>
                    <a:blip r:embed="rId16"/>
                    <a:stretch>
                      <a:fillRect/>
                    </a:stretch>
                  </pic:blipFill>
                  <pic:spPr>
                    <a:xfrm>
                      <a:off x="0" y="0"/>
                      <a:ext cx="5072119" cy="5724000"/>
                    </a:xfrm>
                    <a:prstGeom prst="rect"/>
                  </pic:spPr>
                </pic:pic>
              </a:graphicData>
            </a:graphic>
          </wp:inline>
        </w:drawing>
      </w:r>
    </w:p>
    <w:p>
      <w:pPr>
        <w:pStyle w:val="Caption"/>
        <w:spacing w:after="240"/>
      </w:pPr>
      <w:r>
        <w:t>Figur 1. Fyndplatser för naturvårdsarter i och inom 23 meter från avverkningsanmälan. Markörer utan svart kant är placerade på fyndplatsen. Markörer med svart kant är placerade vid sidan av fyndplatsen och har ett svart streck som visar fyndplatsens exakta position. Kartans mittpunktskoordinat är N 6375530, E 585675 i SWEREF 99 TM.</w:t>
      </w:r>
    </w:p>
    <w:p>
      <w:r>
        <w:t>I och inom 23 meter från avverkningsanmälan finns fynd av 26 naturvårdsarter, varav 12 är rödlistade, 4 är fridlysta, 23 är typiska (T) och 11 är signalarter (S): gränsticka (VU, T), knärot (VU, T, §8), dropptaggsvamp (NT, T), dvärgbägarlav (NT, T), kattfotslav (NT, T), lunglav (NT, T), rosenticka (NT, T), tallticka (NT, T), ullticka (NT, T), vaddporing (NT), vedskivlav (NT, T), vedtrappmossa (NT, T), blomskägglav (S, T), bronshjon (S, T), ekskinn (S, T), fällmossa (S, T), grovticka (S, T), grönpyrola (S, T), guldlockmossa (S, T), klippfrullania (S, T), kornknutmossa (S, T), vedticka (S, T), västlig hakmossa (S), blåsippa (T, §9), tjäder (T, §4) och kungsfågel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9 fyndplatser för knärot registrerade på Artportalen. Figur 2 visar gränserna för buffertzoner på 50 m, som behöver lämnas kring fyndplatserna för att knärotslokalerna inte ska försvinna vid en avverkning. Av det avverkningsanmälda området överlappar 1.92 ha med buffertzonerna och får av detta skäl inte avverkas.</w:t>
      </w:r>
    </w:p>
    <w:p>
      <w:pPr>
        <w:pStyle w:val="Caption"/>
      </w:pPr>
      <w:r>
        <w:drawing>
          <wp:inline xmlns:a="http://schemas.openxmlformats.org/drawingml/2006/main" xmlns:pic="http://schemas.openxmlformats.org/drawingml/2006/picture">
            <wp:extent cx="5486400" cy="5718299"/>
            <wp:docPr id="2" name="Picture 2"/>
            <wp:cNvGraphicFramePr>
              <a:graphicFrameLocks noChangeAspect="1"/>
            </wp:cNvGraphicFramePr>
            <a:graphic>
              <a:graphicData uri="http://schemas.openxmlformats.org/drawingml/2006/picture">
                <pic:pic>
                  <pic:nvPicPr>
                    <pic:cNvPr id="0" name="A 10600-2023 karta knärot.png"/>
                    <pic:cNvPicPr/>
                  </pic:nvPicPr>
                  <pic:blipFill>
                    <a:blip r:embed="rId17"/>
                    <a:stretch>
                      <a:fillRect/>
                    </a:stretch>
                  </pic:blipFill>
                  <pic:spPr>
                    <a:xfrm>
                      <a:off x="0" y="0"/>
                      <a:ext cx="5486400" cy="5718299"/>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6375530, E 585675 i SWEREF 99 TM.</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 xml:space="preserve">Kattfotslav (NT) </w:t>
      </w:r>
      <w:r>
        <w:t xml:space="preserve">är en mycket god signalart i hela sitt svenska utbredningsområde och skogsbestånd med kattfotslav är alltid värdefulla ur naturvårdssynpunkt. Arten indikerar dels ett mikroklimat med konstant hög luftfuktighet, dels kontinuitet av äldre träd och god trädslutenhet. Trots att den är vanligare i sydvästra Sverige växer den enbart i skogsbestånd med höga naturvärden. Den är känslig för skogliga ingrepp som kan förändra lokal- och mikroklimat. Kattfotslav är typisk art för </w:t>
      </w:r>
      <w:r>
        <w:rPr>
          <w:i/>
        </w:rPr>
        <w:t xml:space="preserve">9010 Taiga, 9160 Näringsrik ekskog </w:t>
      </w:r>
      <w:r>
        <w:t>och</w:t>
      </w:r>
      <w:r>
        <w:rPr>
          <w:i/>
        </w:rPr>
        <w:t xml:space="preserve"> 9190 Näringsfattig ekskog</w:t>
      </w:r>
      <w:r>
        <w:t xml:space="preserve"> (Nitare &amp; Skogsstyrelsen, 2019; SLU Artdatabanken, 2026).</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Vaddporing (NT) </w:t>
      </w:r>
      <w:r>
        <w:t>är en brunrötande vednedbrytare som hittas på undersidan av liggande murken tallved i olika former. Substratet utgörs framför allt av den typ av hård, kådimpregnerad och ofta kolad tallved som skapas i brandpräglad skog. Vedtypen nybildas i mycket liten omfattning och det är sannolikt att arten upplever en utdöendeskuld. För att garantera artens fortlevnad bör man både säkra att artens växtplatser hålls intakta samt att långsiktigt säkerställa att ny ved tillkommer, allra helst i omedelbar anslutning till artens växtplatser. Skoglig gallring och annat uttag av virke innebär ett hot mot arten (SLU Artdatabanken, 2024).</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Blomskägglav</w:t>
      </w:r>
      <w:r>
        <w:t xml:space="preserve"> är en ljusälskande och fuktighetskrävande art som framför allt växer på ek högt upp i trädkronorna, där den sitter på ovansidan av klena grenar. Blomskägglav är en bra signalart, speciellt för artfattiga ekskogar med få andra signalarter och ekar i skogsbryn med rika bestånd av olika skägglavar bör regelmässigt sparas. Blomskägglav är typisk art för </w:t>
      </w:r>
      <w:r>
        <w:rPr>
          <w:i/>
        </w:rPr>
        <w:t>9160 Näringsrik ekskog</w:t>
      </w:r>
      <w:r>
        <w:t xml:space="preserve"> och </w:t>
      </w:r>
      <w:r>
        <w:rPr>
          <w:i/>
        </w:rPr>
        <w:t>9190 Näringsfattig ekskog</w:t>
      </w:r>
      <w:r>
        <w:t xml:space="preserve"> (SLU Artdatabanken, 2024; Nitare &amp; Skogsstyrelsen, 2019).</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Ekskinn</w:t>
      </w:r>
      <w:r>
        <w:t xml:space="preserve"> är en mycket bra signalart som visar på skyddsvärda skogsområden med långvarig kontinuitet av ek där det funnits ett konstant inslag av gamla träd. Arten är en typisk representant för relikta ekbestånd i humida, gärna kustnära trakter, och klena träd som hyser arten är vanligtvis betydligt äldre än vad man först kan tro. Ekskinnet hotas främst av avverkning av aktuella och potentiella värdträd men också av att eken i vissa områden ersätts av gran eller andra trädslag. Ekskinn är typisk art för </w:t>
      </w:r>
      <w:r>
        <w:rPr>
          <w:i/>
        </w:rPr>
        <w:t xml:space="preserve">9190 Näringsfattig ekskog </w:t>
      </w:r>
      <w:r>
        <w:t>(SLU Artdatabanken, 2024; Nitare &amp; Skogsstyrelsen, 2019).</w:t>
      </w:r>
    </w:p>
    <w:p>
      <w:r>
        <w:rPr>
          <w:b/>
        </w:rPr>
        <w:t>Fällmossa</w:t>
      </w:r>
      <w:r>
        <w:t xml:space="preserve"> indikerar i stort sett alltid områden med höga naturvärden, skog med lång kontinuitet, gamla träd, hög luftfuktighet och stabila förhållanden. Sporkapslar finnar man enbart på extra skyddsvärda lokaler. Fällmossa är typisk art för </w:t>
      </w:r>
      <w:r>
        <w:rPr>
          <w:i/>
        </w:rPr>
        <w:t xml:space="preserve">9020 Nordlig ädellövskog, 9110 Näringsfattig bokskog, 9130 Näringsrik bokskog, 9160 Näringsrik ekskog, 9180 Ädellövskog i branter </w:t>
      </w:r>
      <w:r>
        <w:t>och</w:t>
      </w:r>
      <w:r>
        <w:rPr>
          <w:i/>
        </w:rPr>
        <w:t xml:space="preserve"> 9190 Näringsfattig ekskog</w:t>
      </w:r>
      <w:r>
        <w:t xml:space="preserve"> (SLU Artdatabanken, 2024; Nitare &amp; Skogsstyrelsen, 2019).</w:t>
      </w:r>
    </w:p>
    <w:p>
      <w:r>
        <w:rPr>
          <w:b/>
        </w:rPr>
        <w:t>Grovticka</w:t>
      </w:r>
      <w:r>
        <w:t xml:space="preserve"> är i skogslandskapet främst knuten till naturskogsartad äldre barrskog. Den är där en värdefull ”gammelskogsindikator” och påträffas mest vid tallar som är över 200 år gamla.  Grovticka är typisk art för </w:t>
      </w:r>
      <w:r>
        <w:rPr>
          <w:i/>
        </w:rPr>
        <w:t xml:space="preserve">9060 Åsbarrskog </w:t>
      </w:r>
      <w:r>
        <w:t>(Nitare &amp; Skogsstyrelsen, 2019; SLU Artdatabanken, 2025).</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r>
        <w:rPr>
          <w:b/>
        </w:rPr>
        <w:t>Guldlockmossa</w:t>
      </w:r>
      <w:r>
        <w:t xml:space="preserve"> växer på solexponerade, basiska klippor och block samt på skrovlig bark vid basen av ädellövträd med rik bark, ofta på gamla ekar, bokar och andra ädellövträd som står öppet i bryn. Särskilt högt signalvärde har den i norra Sverige där den sällsynt kan påträffas i sydväxtberg på klippor med basiska bergarter. Guldlockmossa är typisk art för </w:t>
      </w:r>
      <w:r>
        <w:rPr>
          <w:i/>
        </w:rPr>
        <w:t xml:space="preserve">9110 Näringsfattig bokskog, 9160 Näringsrik ekskog, 9180 Ädellövskog i branter </w:t>
      </w:r>
      <w:r>
        <w:t xml:space="preserve">och </w:t>
      </w:r>
      <w:r>
        <w:rPr>
          <w:i/>
        </w:rPr>
        <w:t xml:space="preserve">9190 Näringsfattig ekskog </w:t>
      </w:r>
      <w:r>
        <w:t>(Nitare &amp; Skogsstyrelsen, 2019; SLU Artdatabanken, 2025).</w:t>
      </w:r>
    </w:p>
    <w:p>
      <w:r>
        <w:rPr>
          <w:b/>
        </w:rPr>
        <w:t>Klippfrullania</w:t>
      </w:r>
      <w:r>
        <w:t xml:space="preserve"> är i centrala, östra och norra Sverige en bra signalart. Den påträffas där i skyddsvärda skogsmiljöer med lång kontinuitet av gamla träd i halvöppen terräng, samt trädklädda bergbranter med ett mikroklimat som har konstant hög och jämn luftfuktighet året om. Klippfrullania är typisk art för </w:t>
      </w:r>
      <w:r>
        <w:rPr>
          <w:i/>
        </w:rPr>
        <w:t xml:space="preserve">9020 Nordlig ädellövskog, 9110 Näringsfattig bokskog, 9130 Näringsrik bokskog, 9160 Näringsrik ekskog, 9180 Ädellövskog i branter </w:t>
      </w:r>
      <w:r>
        <w:t xml:space="preserve">och </w:t>
      </w:r>
      <w:r>
        <w:rPr>
          <w:i/>
        </w:rPr>
        <w:t xml:space="preserve">9190 Näringsfattig ekskog </w:t>
      </w:r>
      <w:r>
        <w:t>(Nitare &amp; Skogsstyrelsen, 2019; SLU Artdatabanken, 2025).</w:t>
      </w:r>
    </w:p>
    <w:p>
      <w:r>
        <w:rPr>
          <w:b/>
        </w:rPr>
        <w:t>Kornknutmossa</w:t>
      </w:r>
      <w:r>
        <w:t xml:space="preserve"> växer främst på grova lågor i sumpskog och myrkanter och indikerar miljöer med rik och jämn tillgång på fuktigt liggande ved. En typisk växtplats i södra Sverige är naturskogsartad gransumpskog. Samtliga skogsskötselåtgärder på eller i omedelbar närhet av lokalerna utgör ett hot. Fragmenteringen av skogslandskapet liksom minskad mängd död ved är ett långsiktigt hot mot denna art. Kornknutmossa är typisk art för </w:t>
      </w:r>
      <w:r>
        <w:rPr>
          <w:i/>
        </w:rPr>
        <w:t xml:space="preserve">9010 Taiga </w:t>
      </w:r>
      <w:r>
        <w:t>och</w:t>
      </w:r>
      <w:r>
        <w:rPr>
          <w:i/>
        </w:rPr>
        <w:t xml:space="preserve"> 9740 Skogsbevuxen myr</w:t>
      </w:r>
      <w:r>
        <w:t xml:space="preserve"> (SLU Artdatabanken, 2024; Nitare &amp; Skogsstyrelsen, 2019).</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6.4.1 </w:t>
      </w:r>
      <w:r>
        <w:t>Följande biotoper undantas från alla skogsbruksåtgärder, förutom åtgärder påkallade för att bevara eller främja biotopens naturliga eller hävdbetingade biologiska mångfald:</w:t>
      </w:r>
    </w:p>
    <w:p>
      <w:pPr>
        <w:ind w:left="357"/>
      </w:pPr>
      <w:r>
        <w:t>b) nyckelbiotoper enligt Skogsstyrelsens definition och metod (1995)</w:t>
      </w:r>
    </w:p>
    <w:p>
      <w:pPr>
        <w:pStyle w:val="ListBullet"/>
      </w:pPr>
      <w:r>
        <w:rPr>
          <w:b/>
          <w:i/>
        </w:rPr>
        <w:t xml:space="preserve">Kommentar: </w:t>
      </w:r>
      <w:r>
        <w:rPr>
          <w:i/>
        </w:rPr>
        <w:t>I det avverkningsanmälda skogsområdet har 23 rödlistade arter och signalarter påträffats. Detta ska jämföras med Skogsstyrelsens uppföljning 2017 av nyckelbiotoper som visade att man i genomsnitt hittar 20,6 olika rödlistade arter och signalarter i en nyckelbiotop (Wijk, S. 2017. Biologisk mångfald i nyckelbiotoper – Resultat från inventeringen “Uppföljning biologisk mångfald” 2009–2015. Rapport 4/2017 Skogsstyrelsen, Jönköping).</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26 naturvårdsarter varav 12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